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46783" w:rsidRPr="007E762F" w:rsidP="00BA2CBD">
      <w:pPr>
        <w:pStyle w:val="treb"/>
        <w:numPr>
          <w:ilvl w:val="0"/>
          <w:numId w:val="9"/>
        </w:numPr>
        <w:spacing w:after="0"/>
        <w:ind w:left="284"/>
        <w:rPr>
          <w:rFonts w:ascii="Arial" w:hAnsi="Arial"/>
          <w:color w:val="54BBAB"/>
        </w:rPr>
      </w:pPr>
      <w:r w:rsidRPr="007E762F">
        <w:rPr>
          <w:rFonts w:ascii="Arial" w:hAnsi="Arial"/>
          <w:color w:val="54BBAB"/>
        </w:rPr>
        <w:t>Introduction</w:t>
      </w:r>
    </w:p>
    <w:p w:rsidR="00846783" w:rsidRPr="00A7642D" w:rsidP="00846783">
      <w:pPr>
        <w:pStyle w:val="treb"/>
        <w:numPr>
          <w:ilvl w:val="0"/>
          <w:numId w:val="0"/>
        </w:numPr>
        <w:spacing w:after="0"/>
        <w:rPr>
          <w:rFonts w:ascii="Arial" w:hAnsi="Arial"/>
          <w:b w:val="0"/>
          <w:color w:val="000000" w:themeColor="text1"/>
        </w:rPr>
      </w:pPr>
    </w:p>
    <w:p w:rsidR="004B723C" w:rsidRPr="00A7642D" w:rsidP="00846783">
      <w:pPr>
        <w:pStyle w:val="treb"/>
        <w:numPr>
          <w:ilvl w:val="0"/>
          <w:numId w:val="0"/>
        </w:numPr>
        <w:spacing w:after="0"/>
        <w:rPr>
          <w:rFonts w:ascii="Arial" w:hAnsi="Arial"/>
          <w:b w:val="0"/>
        </w:rPr>
      </w:pPr>
      <w:r w:rsidRPr="00A7642D">
        <w:rPr>
          <w:rFonts w:ascii="Arial" w:hAnsi="Arial"/>
          <w:b w:val="0"/>
        </w:rPr>
        <w:t xml:space="preserve">This report on Responsible Investment (RI) is a companion to the LPPI RI Dashboard </w:t>
      </w:r>
      <w:r w:rsidRPr="00C32A05">
        <w:rPr>
          <w:rFonts w:ascii="Arial" w:hAnsi="Arial"/>
          <w:b w:val="0"/>
        </w:rPr>
        <w:t xml:space="preserve">and the Quarterly Active Ownership Report (available from the </w:t>
      </w:r>
      <w:bookmarkStart w:id="0" w:name="_Hlk64987639"/>
      <w:r w:rsidRPr="00C32A05">
        <w:rPr>
          <w:rFonts w:ascii="Arial" w:hAnsi="Arial"/>
          <w:b w:val="0"/>
        </w:rPr>
        <w:t>online Pensions Library</w:t>
      </w:r>
      <w:bookmarkEnd w:id="0"/>
      <w:r w:rsidRPr="00C32A05">
        <w:rPr>
          <w:rFonts w:ascii="Arial" w:hAnsi="Arial"/>
          <w:b w:val="0"/>
        </w:rPr>
        <w:t>).</w:t>
      </w:r>
      <w:r w:rsidRPr="00A7642D">
        <w:rPr>
          <w:rFonts w:ascii="Arial" w:hAnsi="Arial"/>
          <w:b w:val="0"/>
        </w:rPr>
        <w:t xml:space="preserve"> It covers stewardship in the period 1 </w:t>
      </w:r>
      <w:r>
        <w:rPr>
          <w:rFonts w:ascii="Arial" w:hAnsi="Arial"/>
          <w:b w:val="0"/>
        </w:rPr>
        <w:t>January</w:t>
      </w:r>
      <w:r w:rsidRPr="00A7642D">
        <w:rPr>
          <w:rFonts w:ascii="Arial" w:hAnsi="Arial"/>
          <w:b w:val="0"/>
        </w:rPr>
        <w:t xml:space="preserve"> to 3</w:t>
      </w:r>
      <w:r>
        <w:rPr>
          <w:rFonts w:ascii="Arial" w:hAnsi="Arial"/>
          <w:b w:val="0"/>
        </w:rPr>
        <w:t>1</w:t>
      </w:r>
      <w:r w:rsidRPr="00A7642D">
        <w:rPr>
          <w:rFonts w:ascii="Arial" w:hAnsi="Arial"/>
          <w:b w:val="0"/>
        </w:rPr>
        <w:t xml:space="preserve"> </w:t>
      </w:r>
      <w:r>
        <w:rPr>
          <w:rFonts w:ascii="Arial" w:hAnsi="Arial"/>
          <w:b w:val="0"/>
        </w:rPr>
        <w:t>March</w:t>
      </w:r>
      <w:r w:rsidRPr="00A7642D">
        <w:rPr>
          <w:rFonts w:ascii="Arial" w:hAnsi="Arial"/>
          <w:b w:val="0"/>
        </w:rPr>
        <w:t xml:space="preserve"> 202</w:t>
      </w:r>
      <w:r>
        <w:rPr>
          <w:rFonts w:ascii="Arial" w:hAnsi="Arial"/>
          <w:b w:val="0"/>
        </w:rPr>
        <w:t>1</w:t>
      </w:r>
      <w:r w:rsidRPr="00A7642D">
        <w:rPr>
          <w:rFonts w:ascii="Arial" w:hAnsi="Arial"/>
          <w:b w:val="0"/>
        </w:rPr>
        <w:t xml:space="preserve"> </w:t>
      </w:r>
      <w:r>
        <w:rPr>
          <w:rFonts w:ascii="Arial" w:hAnsi="Arial"/>
          <w:b w:val="0"/>
        </w:rPr>
        <w:t>plus</w:t>
      </w:r>
      <w:r w:rsidRPr="00A7642D">
        <w:rPr>
          <w:rFonts w:ascii="Arial" w:hAnsi="Arial"/>
          <w:b w:val="0"/>
        </w:rPr>
        <w:t xml:space="preserve"> insights on current and emerging issues for client pension funds. </w:t>
      </w:r>
    </w:p>
    <w:p w:rsidR="00B77540" w:rsidP="00B77540">
      <w:pPr>
        <w:pStyle w:val="treb"/>
        <w:numPr>
          <w:ilvl w:val="0"/>
          <w:numId w:val="0"/>
        </w:numPr>
        <w:spacing w:after="0"/>
        <w:rPr>
          <w:rFonts w:ascii="Arial" w:hAnsi="Arial"/>
          <w:b w:val="0"/>
          <w:bCs w:val="0"/>
          <w:color w:val="009999"/>
        </w:rPr>
      </w:pPr>
    </w:p>
    <w:p w:rsidR="00B77540" w:rsidRPr="00F877EC" w:rsidP="00B77540">
      <w:pPr>
        <w:pStyle w:val="treb"/>
        <w:numPr>
          <w:ilvl w:val="0"/>
          <w:numId w:val="0"/>
        </w:numPr>
        <w:spacing w:after="0"/>
        <w:rPr>
          <w:rFonts w:ascii="Arial" w:hAnsi="Arial"/>
          <w:b w:val="0"/>
          <w:bCs w:val="0"/>
        </w:rPr>
      </w:pPr>
      <w:r>
        <w:rPr>
          <w:rFonts w:ascii="Arial" w:hAnsi="Arial"/>
          <w:b w:val="0"/>
          <w:bCs w:val="0"/>
          <w:color w:val="009999"/>
        </w:rPr>
        <w:t xml:space="preserve"> </w:t>
      </w:r>
      <w:bookmarkStart w:id="1" w:name="_Hlk64788007"/>
      <w:r w:rsidRPr="00B77540">
        <w:rPr>
          <w:rStyle w:val="FootnoteReference"/>
          <w:rFonts w:ascii="Arial" w:hAnsi="Arial"/>
          <w:b w:val="0"/>
          <w:bCs w:val="0"/>
          <w:color w:val="009999"/>
        </w:rPr>
        <w:t>R</w:t>
      </w:r>
      <w:bookmarkEnd w:id="1"/>
      <w:r>
        <w:rPr>
          <w:rFonts w:ascii="Arial" w:hAnsi="Arial"/>
          <w:b w:val="0"/>
          <w:bCs w:val="0"/>
          <w:color w:val="009999"/>
        </w:rPr>
        <w:t xml:space="preserve"> </w:t>
      </w:r>
      <w:r>
        <w:rPr>
          <w:rFonts w:ascii="Arial" w:hAnsi="Arial"/>
          <w:b w:val="0"/>
          <w:bCs w:val="0"/>
        </w:rPr>
        <w:t xml:space="preserve">This symbol indicates a </w:t>
      </w:r>
      <w:r w:rsidRPr="00F877EC">
        <w:rPr>
          <w:rFonts w:ascii="Arial" w:hAnsi="Arial"/>
          <w:b w:val="0"/>
          <w:bCs w:val="0"/>
        </w:rPr>
        <w:t>term</w:t>
      </w:r>
      <w:r>
        <w:rPr>
          <w:rFonts w:ascii="Arial" w:hAnsi="Arial"/>
          <w:b w:val="0"/>
          <w:bCs w:val="0"/>
        </w:rPr>
        <w:t xml:space="preserve"> explained in the</w:t>
      </w:r>
      <w:r w:rsidRPr="00F877EC">
        <w:rPr>
          <w:rFonts w:ascii="Arial" w:hAnsi="Arial"/>
          <w:b w:val="0"/>
          <w:bCs w:val="0"/>
        </w:rPr>
        <w:t xml:space="preserve"> reference </w:t>
      </w:r>
      <w:r>
        <w:rPr>
          <w:rFonts w:ascii="Arial" w:hAnsi="Arial"/>
          <w:b w:val="0"/>
          <w:bCs w:val="0"/>
        </w:rPr>
        <w:t>section at the end of this report.</w:t>
      </w:r>
    </w:p>
    <w:p w:rsidR="004B723C" w:rsidRPr="00A7642D" w:rsidP="00846783">
      <w:pPr>
        <w:pStyle w:val="treb"/>
        <w:numPr>
          <w:ilvl w:val="0"/>
          <w:numId w:val="0"/>
        </w:numPr>
        <w:spacing w:after="0"/>
        <w:rPr>
          <w:rFonts w:ascii="Arial" w:hAnsi="Arial"/>
          <w:b w:val="0"/>
        </w:rPr>
      </w:pPr>
    </w:p>
    <w:p w:rsidR="004B723C" w:rsidRPr="00A7642D" w:rsidP="00846783">
      <w:pPr>
        <w:pStyle w:val="treb"/>
        <w:numPr>
          <w:ilvl w:val="0"/>
          <w:numId w:val="0"/>
        </w:numPr>
        <w:spacing w:after="0"/>
        <w:rPr>
          <w:rFonts w:ascii="Arial" w:hAnsi="Arial"/>
          <w:b w:val="0"/>
        </w:rPr>
      </w:pPr>
      <w:r w:rsidRPr="00A7642D">
        <w:rPr>
          <w:rFonts w:ascii="Arial" w:hAnsi="Arial"/>
          <w:b w:val="0"/>
        </w:rPr>
        <w:t>Key takeaways for the period:</w:t>
      </w:r>
    </w:p>
    <w:p w:rsidR="004B723C" w:rsidRPr="00A7642D" w:rsidP="00846783">
      <w:pPr>
        <w:pStyle w:val="treb"/>
        <w:numPr>
          <w:ilvl w:val="0"/>
          <w:numId w:val="0"/>
        </w:numPr>
        <w:spacing w:after="0"/>
        <w:rPr>
          <w:rFonts w:ascii="Arial" w:hAnsi="Arial"/>
          <w:b w:val="0"/>
        </w:rPr>
      </w:pPr>
    </w:p>
    <w:p w:rsidR="00514333" w:rsidP="00514333">
      <w:pPr>
        <w:pStyle w:val="treb"/>
        <w:numPr>
          <w:ilvl w:val="0"/>
          <w:numId w:val="5"/>
        </w:numPr>
        <w:spacing w:after="0"/>
        <w:ind w:hanging="720"/>
        <w:rPr>
          <w:rFonts w:ascii="Arial" w:hAnsi="Arial"/>
          <w:b w:val="0"/>
        </w:rPr>
      </w:pPr>
      <w:bookmarkStart w:id="2" w:name="_Hlk72998518"/>
      <w:r>
        <w:rPr>
          <w:rFonts w:ascii="Arial" w:hAnsi="Arial"/>
          <w:b w:val="0"/>
        </w:rPr>
        <w:t>LPPI has submitted annual reporting (as a signatory to the Principles for Responsible Investment) for the period 1</w:t>
      </w:r>
      <w:r w:rsidRPr="00514333">
        <w:rPr>
          <w:rFonts w:ascii="Arial" w:hAnsi="Arial"/>
          <w:b w:val="0"/>
          <w:vertAlign w:val="superscript"/>
        </w:rPr>
        <w:t>st</w:t>
      </w:r>
      <w:r>
        <w:rPr>
          <w:rFonts w:ascii="Arial" w:hAnsi="Arial"/>
          <w:b w:val="0"/>
        </w:rPr>
        <w:t xml:space="preserve"> January to 31 December 2020. </w:t>
      </w:r>
    </w:p>
    <w:p w:rsidR="004A347A" w:rsidP="00514333">
      <w:pPr>
        <w:pStyle w:val="treb"/>
        <w:numPr>
          <w:ilvl w:val="0"/>
          <w:numId w:val="5"/>
        </w:numPr>
        <w:spacing w:after="0"/>
        <w:ind w:hanging="720"/>
        <w:rPr>
          <w:rFonts w:ascii="Arial" w:hAnsi="Arial"/>
          <w:b w:val="0"/>
        </w:rPr>
      </w:pPr>
      <w:bookmarkEnd w:id="2"/>
      <w:r>
        <w:rPr>
          <w:rFonts w:ascii="Arial" w:hAnsi="Arial"/>
          <w:b w:val="0"/>
        </w:rPr>
        <w:t>RI priorities identified by LPPI for the year ahead place focus on transparency, systematic ESG integration, social factors, and climate change sustainability.</w:t>
      </w:r>
    </w:p>
    <w:p w:rsidR="00603097" w:rsidP="00603097">
      <w:pPr>
        <w:pStyle w:val="treb"/>
        <w:numPr>
          <w:ilvl w:val="0"/>
          <w:numId w:val="5"/>
        </w:numPr>
        <w:spacing w:after="0"/>
        <w:ind w:hanging="720"/>
        <w:rPr>
          <w:rFonts w:ascii="Arial" w:hAnsi="Arial"/>
          <w:b w:val="0"/>
        </w:rPr>
      </w:pPr>
      <w:r w:rsidRPr="0025774B">
        <w:rPr>
          <w:rFonts w:ascii="Arial" w:hAnsi="Arial"/>
          <w:b w:val="0"/>
        </w:rPr>
        <w:t>Investments in brown sectors (extraction, transportation, storage, supply</w:t>
      </w:r>
      <w:r>
        <w:rPr>
          <w:rFonts w:ascii="Arial" w:hAnsi="Arial"/>
          <w:b w:val="0"/>
        </w:rPr>
        <w:t>,</w:t>
      </w:r>
      <w:r w:rsidRPr="0025774B">
        <w:rPr>
          <w:rFonts w:ascii="Arial" w:hAnsi="Arial"/>
          <w:b w:val="0"/>
        </w:rPr>
        <w:t xml:space="preserve"> and generation of energy from fossil </w:t>
      </w:r>
      <w:r w:rsidRPr="00603097">
        <w:rPr>
          <w:rFonts w:ascii="Arial" w:hAnsi="Arial"/>
          <w:b w:val="0"/>
        </w:rPr>
        <w:t xml:space="preserve">fuels) </w:t>
      </w:r>
      <w:r w:rsidRPr="00F2243E">
        <w:rPr>
          <w:rFonts w:ascii="Arial" w:hAnsi="Arial"/>
          <w:b w:val="0"/>
        </w:rPr>
        <w:t>are 2.</w:t>
      </w:r>
      <w:r>
        <w:rPr>
          <w:rFonts w:ascii="Arial" w:hAnsi="Arial"/>
          <w:b w:val="0"/>
        </w:rPr>
        <w:t>8</w:t>
      </w:r>
      <w:r w:rsidRPr="00F2243E">
        <w:rPr>
          <w:rFonts w:ascii="Arial" w:hAnsi="Arial"/>
          <w:b w:val="0"/>
        </w:rPr>
        <w:t>5% of</w:t>
      </w:r>
      <w:r w:rsidRPr="00603097">
        <w:rPr>
          <w:rFonts w:ascii="Arial" w:hAnsi="Arial"/>
          <w:b w:val="0"/>
        </w:rPr>
        <w:t xml:space="preserve"> the portfolio. </w:t>
      </w:r>
    </w:p>
    <w:p w:rsidR="003C1D5B" w:rsidP="00603097">
      <w:pPr>
        <w:pStyle w:val="treb"/>
        <w:numPr>
          <w:ilvl w:val="0"/>
          <w:numId w:val="5"/>
        </w:numPr>
        <w:spacing w:after="0"/>
        <w:ind w:hanging="720"/>
        <w:rPr>
          <w:rFonts w:ascii="Arial" w:hAnsi="Arial"/>
          <w:b w:val="0"/>
        </w:rPr>
      </w:pPr>
      <w:r w:rsidRPr="00603097">
        <w:rPr>
          <w:rFonts w:ascii="Arial" w:hAnsi="Arial"/>
          <w:b w:val="0"/>
        </w:rPr>
        <w:t xml:space="preserve">Investments in green sectors (renewable energy generation, clean technology, and decarbonising activities) </w:t>
      </w:r>
      <w:r w:rsidRPr="00F2243E">
        <w:rPr>
          <w:rFonts w:ascii="Arial" w:hAnsi="Arial"/>
          <w:b w:val="0"/>
        </w:rPr>
        <w:t>are 3.40% of the p</w:t>
      </w:r>
      <w:r w:rsidRPr="00603097">
        <w:rPr>
          <w:rFonts w:ascii="Arial" w:hAnsi="Arial"/>
          <w:b w:val="0"/>
        </w:rPr>
        <w:t>ortfolio.</w:t>
      </w:r>
    </w:p>
    <w:p w:rsidR="004A347A" w:rsidP="004A347A">
      <w:pPr>
        <w:pStyle w:val="treb"/>
        <w:numPr>
          <w:ilvl w:val="0"/>
          <w:numId w:val="5"/>
        </w:numPr>
        <w:spacing w:after="0"/>
        <w:ind w:hanging="720"/>
        <w:rPr>
          <w:rFonts w:ascii="Arial" w:hAnsi="Arial"/>
          <w:b w:val="0"/>
        </w:rPr>
      </w:pPr>
      <w:r>
        <w:rPr>
          <w:rFonts w:ascii="Arial" w:hAnsi="Arial"/>
          <w:b w:val="0"/>
        </w:rPr>
        <w:t>LPPI has joined other investors in supporting a clear set of expectations for how banks should demonstrate alignment with the goals of the Paris Agreement.</w:t>
      </w:r>
    </w:p>
    <w:p w:rsidR="007908D8" w:rsidRPr="001B0B08" w:rsidP="00B34D96">
      <w:pPr>
        <w:pStyle w:val="treb"/>
        <w:numPr>
          <w:ilvl w:val="0"/>
          <w:numId w:val="5"/>
        </w:numPr>
        <w:spacing w:after="0"/>
        <w:ind w:hanging="720"/>
        <w:rPr>
          <w:rFonts w:ascii="Arial" w:hAnsi="Arial"/>
          <w:b w:val="0"/>
        </w:rPr>
      </w:pPr>
      <w:bookmarkStart w:id="3" w:name="_Hlk72956376"/>
      <w:r w:rsidRPr="001B0B08">
        <w:rPr>
          <w:rFonts w:ascii="Arial" w:hAnsi="Arial"/>
          <w:b w:val="0"/>
        </w:rPr>
        <w:t xml:space="preserve">An-internet based letter campaign is underway by the Palestine Solidarity Campaign specifically targeting the LGPS </w:t>
      </w:r>
    </w:p>
    <w:p w:rsidR="000120A7" w:rsidRPr="00A7642D" w:rsidP="00846783">
      <w:pPr>
        <w:pStyle w:val="treb"/>
        <w:numPr>
          <w:ilvl w:val="0"/>
          <w:numId w:val="0"/>
        </w:numPr>
        <w:spacing w:after="0"/>
        <w:rPr>
          <w:rFonts w:ascii="Arial" w:hAnsi="Arial"/>
          <w:b w:val="0"/>
        </w:rPr>
      </w:pPr>
      <w:bookmarkEnd w:id="3"/>
    </w:p>
    <w:p w:rsidR="007178A5" w:rsidP="00BA2CBD">
      <w:pPr>
        <w:pStyle w:val="treb"/>
        <w:numPr>
          <w:ilvl w:val="0"/>
          <w:numId w:val="9"/>
        </w:numPr>
        <w:spacing w:after="0"/>
        <w:ind w:hanging="720"/>
        <w:rPr>
          <w:rFonts w:ascii="Arial" w:hAnsi="Arial"/>
          <w:color w:val="54BBAB"/>
        </w:rPr>
      </w:pPr>
      <w:r>
        <w:rPr>
          <w:rFonts w:ascii="Arial" w:hAnsi="Arial"/>
          <w:color w:val="54BBAB"/>
        </w:rPr>
        <w:t>RI Dashboard – portfolio characteristics</w:t>
      </w:r>
    </w:p>
    <w:p w:rsidR="007178A5" w:rsidP="007178A5">
      <w:pPr>
        <w:pStyle w:val="treb"/>
        <w:numPr>
          <w:ilvl w:val="0"/>
          <w:numId w:val="0"/>
        </w:numPr>
        <w:spacing w:after="0"/>
        <w:rPr>
          <w:rFonts w:ascii="Arial" w:hAnsi="Arial"/>
          <w:b w:val="0"/>
          <w:bCs w:val="0"/>
        </w:rPr>
      </w:pPr>
    </w:p>
    <w:p w:rsidR="007178A5" w:rsidP="007178A5">
      <w:pPr>
        <w:pStyle w:val="treb"/>
        <w:numPr>
          <w:ilvl w:val="0"/>
          <w:numId w:val="0"/>
        </w:numPr>
        <w:spacing w:after="0"/>
        <w:rPr>
          <w:rFonts w:ascii="Arial" w:hAnsi="Arial"/>
          <w:b w:val="0"/>
          <w:bCs w:val="0"/>
        </w:rPr>
      </w:pPr>
      <w:r w:rsidRPr="007178A5">
        <w:rPr>
          <w:rFonts w:ascii="Arial" w:hAnsi="Arial"/>
          <w:b w:val="0"/>
          <w:bCs w:val="0"/>
        </w:rPr>
        <w:t>This section of the report</w:t>
      </w:r>
      <w:r>
        <w:rPr>
          <w:rFonts w:ascii="Arial" w:hAnsi="Arial"/>
          <w:b w:val="0"/>
          <w:bCs w:val="0"/>
        </w:rPr>
        <w:t xml:space="preserve"> shares key takeaways from the RI Dashboard at </w:t>
      </w:r>
      <w:r w:rsidRPr="001B0B08">
        <w:rPr>
          <w:rFonts w:ascii="Arial" w:hAnsi="Arial"/>
          <w:b w:val="0"/>
          <w:bCs w:val="0"/>
        </w:rPr>
        <w:t xml:space="preserve">Appendix </w:t>
      </w:r>
      <w:r w:rsidR="00196A14">
        <w:rPr>
          <w:rFonts w:ascii="Arial" w:hAnsi="Arial"/>
          <w:b w:val="0"/>
          <w:bCs w:val="0"/>
        </w:rPr>
        <w:t>B</w:t>
      </w:r>
      <w:r>
        <w:rPr>
          <w:rFonts w:ascii="Arial" w:hAnsi="Arial"/>
          <w:b w:val="0"/>
          <w:bCs w:val="0"/>
        </w:rPr>
        <w:t xml:space="preserve">. </w:t>
      </w:r>
    </w:p>
    <w:p w:rsidR="00F877EC" w:rsidP="007178A5">
      <w:pPr>
        <w:pStyle w:val="treb"/>
        <w:numPr>
          <w:ilvl w:val="0"/>
          <w:numId w:val="0"/>
        </w:numPr>
        <w:spacing w:after="0"/>
        <w:rPr>
          <w:rFonts w:ascii="Arial" w:hAnsi="Arial"/>
          <w:b w:val="0"/>
          <w:bCs w:val="0"/>
          <w:color w:val="000000" w:themeColor="text1"/>
        </w:rPr>
      </w:pPr>
    </w:p>
    <w:p w:rsidR="00C02C6B" w:rsidP="007178A5">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Asset class metrics (</w:t>
      </w:r>
      <w:r w:rsidRPr="006E3043">
        <w:rPr>
          <w:rFonts w:ascii="Arial" w:hAnsi="Arial"/>
          <w:b w:val="0"/>
          <w:bCs w:val="0"/>
          <w:i/>
          <w:iCs/>
          <w:color w:val="000000" w:themeColor="text1"/>
        </w:rPr>
        <w:t>Dashboard pages 1 &amp; 2</w:t>
      </w:r>
      <w:r>
        <w:rPr>
          <w:rFonts w:ascii="Arial" w:hAnsi="Arial"/>
          <w:b w:val="0"/>
          <w:bCs w:val="0"/>
          <w:color w:val="000000" w:themeColor="text1"/>
        </w:rPr>
        <w:t xml:space="preserve">) offer insights on the composition of the </w:t>
      </w:r>
      <w:r w:rsidRPr="007178A5">
        <w:rPr>
          <w:rFonts w:ascii="Arial" w:hAnsi="Arial"/>
          <w:b w:val="0"/>
          <w:bCs w:val="0"/>
          <w:color w:val="000000" w:themeColor="text1"/>
        </w:rPr>
        <w:t>portfolio</w:t>
      </w:r>
      <w:r w:rsidRPr="000916FA">
        <w:rPr>
          <w:rFonts w:ascii="Arial" w:hAnsi="Arial"/>
          <w:b w:val="0"/>
          <w:bCs w:val="0"/>
          <w:color w:val="000000" w:themeColor="text1"/>
        </w:rPr>
        <w:t xml:space="preserve"> </w:t>
      </w:r>
      <w:r>
        <w:rPr>
          <w:rFonts w:ascii="Arial" w:hAnsi="Arial"/>
          <w:b w:val="0"/>
          <w:bCs w:val="0"/>
          <w:color w:val="000000" w:themeColor="text1"/>
        </w:rPr>
        <w:t>and its general characteristics. There have been minimal changes compared with the position reported at Q4 2020.</w:t>
      </w:r>
    </w:p>
    <w:p w:rsidR="001B237C" w:rsidP="001B237C">
      <w:pPr>
        <w:pStyle w:val="treb"/>
        <w:numPr>
          <w:ilvl w:val="0"/>
          <w:numId w:val="0"/>
        </w:numPr>
        <w:spacing w:after="0"/>
        <w:rPr>
          <w:rFonts w:ascii="Arial" w:hAnsi="Arial"/>
          <w:b w:val="0"/>
          <w:bCs w:val="0"/>
          <w:i/>
          <w:iCs/>
          <w:color w:val="000000" w:themeColor="text1"/>
        </w:rPr>
      </w:pPr>
    </w:p>
    <w:p w:rsidR="001B237C" w:rsidRPr="00601AA9" w:rsidP="001B237C">
      <w:pPr>
        <w:pStyle w:val="treb"/>
        <w:numPr>
          <w:ilvl w:val="0"/>
          <w:numId w:val="0"/>
        </w:numPr>
        <w:spacing w:after="0"/>
        <w:rPr>
          <w:rFonts w:ascii="Arial" w:hAnsi="Arial"/>
          <w:b w:val="0"/>
          <w:bCs w:val="0"/>
          <w:color w:val="000000" w:themeColor="text1"/>
          <w:u w:val="single"/>
        </w:rPr>
      </w:pPr>
      <w:r w:rsidRPr="00601AA9">
        <w:rPr>
          <w:rFonts w:ascii="Arial" w:hAnsi="Arial"/>
          <w:b w:val="0"/>
          <w:bCs w:val="0"/>
          <w:color w:val="000000" w:themeColor="text1"/>
          <w:u w:val="single"/>
        </w:rPr>
        <w:t xml:space="preserve">Listed equities (Dashboard p1) </w:t>
      </w:r>
    </w:p>
    <w:p w:rsidR="00603097" w:rsidP="00603097">
      <w:pPr>
        <w:pStyle w:val="treb"/>
        <w:numPr>
          <w:ilvl w:val="0"/>
          <w:numId w:val="0"/>
        </w:numPr>
        <w:spacing w:after="0"/>
        <w:rPr>
          <w:rFonts w:ascii="Arial" w:hAnsi="Arial"/>
          <w:b w:val="0"/>
          <w:bCs w:val="0"/>
          <w:color w:val="000000" w:themeColor="text1"/>
        </w:rPr>
      </w:pPr>
    </w:p>
    <w:p w:rsidR="00603097" w:rsidRPr="00603097" w:rsidP="00603097">
      <w:pPr>
        <w:pStyle w:val="treb"/>
        <w:numPr>
          <w:ilvl w:val="0"/>
          <w:numId w:val="0"/>
        </w:numPr>
        <w:spacing w:after="0"/>
        <w:rPr>
          <w:rFonts w:ascii="Arial" w:hAnsi="Arial"/>
          <w:b w:val="0"/>
          <w:bCs w:val="0"/>
          <w:i/>
          <w:iCs/>
          <w:color w:val="000000" w:themeColor="text1"/>
        </w:rPr>
      </w:pPr>
      <w:r w:rsidRPr="00603097">
        <w:rPr>
          <w:rFonts w:ascii="Arial" w:hAnsi="Arial"/>
          <w:b w:val="0"/>
          <w:bCs w:val="0"/>
          <w:i/>
          <w:iCs/>
          <w:color w:val="000000" w:themeColor="text1"/>
        </w:rPr>
        <w:t>Sector Breakdown</w:t>
      </w:r>
    </w:p>
    <w:p w:rsidR="00603097" w:rsidRPr="006E3043" w:rsidP="0060309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Categorised by GICS</w:t>
      </w:r>
      <w:bookmarkStart w:id="4" w:name="_Hlk55487829"/>
      <w:r w:rsidRPr="00B77540">
        <w:rPr>
          <w:rStyle w:val="FootnoteReference"/>
          <w:rFonts w:ascii="Arial" w:hAnsi="Arial"/>
          <w:b w:val="0"/>
          <w:bCs w:val="0"/>
          <w:color w:val="009999"/>
        </w:rPr>
        <w:t>R</w:t>
      </w:r>
      <w:bookmarkEnd w:id="4"/>
      <w:r>
        <w:rPr>
          <w:rFonts w:ascii="Arial" w:hAnsi="Arial"/>
          <w:b w:val="0"/>
          <w:bCs w:val="0"/>
          <w:color w:val="000000" w:themeColor="text1"/>
        </w:rPr>
        <w:t xml:space="preserve"> the </w:t>
      </w:r>
      <w:r w:rsidRPr="006E3043">
        <w:rPr>
          <w:rFonts w:ascii="Arial" w:hAnsi="Arial"/>
          <w:b w:val="0"/>
          <w:bCs w:val="0"/>
          <w:color w:val="000000" w:themeColor="text1"/>
        </w:rPr>
        <w:t>largest sector</w:t>
      </w:r>
      <w:r>
        <w:rPr>
          <w:rFonts w:ascii="Arial" w:hAnsi="Arial"/>
          <w:b w:val="0"/>
          <w:bCs w:val="0"/>
          <w:color w:val="000000" w:themeColor="text1"/>
        </w:rPr>
        <w:t>al</w:t>
      </w:r>
      <w:r w:rsidRPr="006E3043">
        <w:rPr>
          <w:rFonts w:ascii="Arial" w:hAnsi="Arial"/>
          <w:b w:val="0"/>
          <w:bCs w:val="0"/>
          <w:color w:val="000000" w:themeColor="text1"/>
        </w:rPr>
        <w:t xml:space="preserve"> </w:t>
      </w:r>
      <w:r>
        <w:rPr>
          <w:rFonts w:ascii="Arial" w:hAnsi="Arial"/>
          <w:b w:val="0"/>
          <w:bCs w:val="0"/>
          <w:color w:val="000000" w:themeColor="text1"/>
        </w:rPr>
        <w:t xml:space="preserve">exposures for the GEF </w:t>
      </w:r>
      <w:r w:rsidRPr="006E3043">
        <w:rPr>
          <w:rFonts w:ascii="Arial" w:hAnsi="Arial"/>
          <w:b w:val="0"/>
          <w:bCs w:val="0"/>
          <w:color w:val="000000" w:themeColor="text1"/>
        </w:rPr>
        <w:t>are information technology (2</w:t>
      </w:r>
      <w:r>
        <w:rPr>
          <w:rFonts w:ascii="Arial" w:hAnsi="Arial"/>
          <w:b w:val="0"/>
          <w:bCs w:val="0"/>
          <w:color w:val="000000" w:themeColor="text1"/>
        </w:rPr>
        <w:t>3</w:t>
      </w:r>
      <w:r w:rsidRPr="006E3043">
        <w:rPr>
          <w:rFonts w:ascii="Arial" w:hAnsi="Arial"/>
          <w:b w:val="0"/>
          <w:bCs w:val="0"/>
          <w:color w:val="000000" w:themeColor="text1"/>
        </w:rPr>
        <w:t>%) consumer staples (1</w:t>
      </w:r>
      <w:r>
        <w:rPr>
          <w:rFonts w:ascii="Arial" w:hAnsi="Arial"/>
          <w:b w:val="0"/>
          <w:bCs w:val="0"/>
          <w:color w:val="000000" w:themeColor="text1"/>
        </w:rPr>
        <w:t>3</w:t>
      </w:r>
      <w:r w:rsidRPr="006E3043">
        <w:rPr>
          <w:rFonts w:ascii="Arial" w:hAnsi="Arial"/>
          <w:b w:val="0"/>
          <w:bCs w:val="0"/>
          <w:color w:val="000000" w:themeColor="text1"/>
        </w:rPr>
        <w:t>%) and</w:t>
      </w:r>
      <w:r>
        <w:rPr>
          <w:rFonts w:ascii="Arial" w:hAnsi="Arial"/>
          <w:b w:val="0"/>
          <w:bCs w:val="0"/>
          <w:color w:val="000000" w:themeColor="text1"/>
        </w:rPr>
        <w:t xml:space="preserve"> industrials (13%).</w:t>
      </w:r>
    </w:p>
    <w:p w:rsidR="00603097" w:rsidP="00603097">
      <w:pPr>
        <w:pStyle w:val="treb"/>
        <w:numPr>
          <w:ilvl w:val="0"/>
          <w:numId w:val="0"/>
        </w:numPr>
        <w:spacing w:after="0"/>
        <w:rPr>
          <w:rFonts w:ascii="Arial" w:hAnsi="Arial"/>
          <w:b w:val="0"/>
          <w:bCs w:val="0"/>
          <w:color w:val="000000" w:themeColor="text1"/>
        </w:rPr>
      </w:pPr>
    </w:p>
    <w:p w:rsidR="00603097" w:rsidRPr="006E3043" w:rsidP="0060309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w:t>
      </w:r>
      <w:r w:rsidRPr="006E3043">
        <w:rPr>
          <w:rFonts w:ascii="Arial" w:hAnsi="Arial"/>
          <w:b w:val="0"/>
          <w:bCs w:val="0"/>
          <w:color w:val="000000" w:themeColor="text1"/>
        </w:rPr>
        <w:t xml:space="preserve">omparing the GEF with </w:t>
      </w:r>
      <w:r>
        <w:rPr>
          <w:rFonts w:ascii="Arial" w:hAnsi="Arial"/>
          <w:b w:val="0"/>
          <w:bCs w:val="0"/>
          <w:color w:val="000000" w:themeColor="text1"/>
        </w:rPr>
        <w:t>its</w:t>
      </w:r>
      <w:r w:rsidRPr="006E3043">
        <w:rPr>
          <w:rFonts w:ascii="Arial" w:hAnsi="Arial"/>
          <w:b w:val="0"/>
          <w:bCs w:val="0"/>
          <w:color w:val="000000" w:themeColor="text1"/>
        </w:rPr>
        <w:t xml:space="preserve"> benchmark (MSCI ACWI)</w:t>
      </w:r>
      <w:r w:rsidRPr="009E303D">
        <w:rPr>
          <w:rStyle w:val="FootnoteReference"/>
          <w:rFonts w:ascii="Arial" w:hAnsi="Arial"/>
          <w:b w:val="0"/>
          <w:bCs w:val="0"/>
          <w:color w:val="009999"/>
        </w:rPr>
        <w:t xml:space="preserve"> </w:t>
      </w:r>
      <w:r w:rsidRPr="00B77540">
        <w:rPr>
          <w:rStyle w:val="FootnoteReference"/>
          <w:rFonts w:ascii="Arial" w:hAnsi="Arial"/>
          <w:b w:val="0"/>
          <w:bCs w:val="0"/>
          <w:color w:val="009999"/>
        </w:rPr>
        <w:t>R</w:t>
      </w:r>
      <w:r w:rsidRPr="006E3043">
        <w:rPr>
          <w:rFonts w:ascii="Arial" w:hAnsi="Arial"/>
          <w:b w:val="0"/>
          <w:bCs w:val="0"/>
          <w:color w:val="000000" w:themeColor="text1"/>
        </w:rPr>
        <w:t xml:space="preserve"> </w:t>
      </w:r>
      <w:r>
        <w:rPr>
          <w:rFonts w:ascii="Arial" w:hAnsi="Arial"/>
          <w:b w:val="0"/>
          <w:bCs w:val="0"/>
          <w:color w:val="000000" w:themeColor="text1"/>
        </w:rPr>
        <w:t>gives insight into</w:t>
      </w:r>
      <w:r w:rsidRPr="006E3043">
        <w:rPr>
          <w:rFonts w:ascii="Arial" w:hAnsi="Arial"/>
          <w:b w:val="0"/>
          <w:bCs w:val="0"/>
          <w:color w:val="000000" w:themeColor="text1"/>
        </w:rPr>
        <w:t xml:space="preserve"> how sector exposures </w:t>
      </w:r>
      <w:r>
        <w:rPr>
          <w:rFonts w:ascii="Arial" w:hAnsi="Arial"/>
          <w:b w:val="0"/>
          <w:bCs w:val="0"/>
          <w:color w:val="000000" w:themeColor="text1"/>
        </w:rPr>
        <w:t xml:space="preserve">for the fund </w:t>
      </w:r>
      <w:r w:rsidRPr="006E3043">
        <w:rPr>
          <w:rFonts w:ascii="Arial" w:hAnsi="Arial"/>
          <w:b w:val="0"/>
          <w:bCs w:val="0"/>
          <w:color w:val="000000" w:themeColor="text1"/>
        </w:rPr>
        <w:t>differ from a global market index</w:t>
      </w:r>
      <w:r>
        <w:rPr>
          <w:rFonts w:ascii="Arial" w:hAnsi="Arial"/>
          <w:b w:val="0"/>
          <w:bCs w:val="0"/>
          <w:color w:val="000000" w:themeColor="text1"/>
        </w:rPr>
        <w:t>.</w:t>
      </w:r>
      <w:r w:rsidRPr="006E3043">
        <w:rPr>
          <w:rFonts w:ascii="Arial" w:hAnsi="Arial"/>
          <w:b w:val="0"/>
          <w:bCs w:val="0"/>
          <w:color w:val="000000" w:themeColor="text1"/>
        </w:rPr>
        <w:t xml:space="preserve"> </w:t>
      </w:r>
      <w:r>
        <w:rPr>
          <w:rFonts w:ascii="Arial" w:hAnsi="Arial"/>
          <w:b w:val="0"/>
          <w:bCs w:val="0"/>
          <w:color w:val="000000" w:themeColor="text1"/>
        </w:rPr>
        <w:t>The length of each horizontal bar indicates by how much exposures differ in total (+ or –) compared with the benchmark,</w:t>
      </w:r>
      <w:r w:rsidRPr="00603097">
        <w:rPr>
          <w:rFonts w:ascii="Arial" w:hAnsi="Arial"/>
          <w:b w:val="0"/>
          <w:bCs w:val="0"/>
          <w:color w:val="000000" w:themeColor="text1"/>
        </w:rPr>
        <w:t xml:space="preserve"> </w:t>
      </w:r>
      <w:r>
        <w:rPr>
          <w:rFonts w:ascii="Arial" w:hAnsi="Arial"/>
          <w:b w:val="0"/>
          <w:bCs w:val="0"/>
          <w:color w:val="000000" w:themeColor="text1"/>
        </w:rPr>
        <w:t xml:space="preserve">which is </w:t>
      </w:r>
      <w:r w:rsidRPr="006E3043">
        <w:rPr>
          <w:rFonts w:ascii="Arial" w:hAnsi="Arial"/>
          <w:b w:val="0"/>
          <w:bCs w:val="0"/>
          <w:color w:val="000000" w:themeColor="text1"/>
        </w:rPr>
        <w:t xml:space="preserve">the </w:t>
      </w:r>
      <w:r>
        <w:rPr>
          <w:rFonts w:ascii="Arial" w:hAnsi="Arial"/>
          <w:b w:val="0"/>
          <w:bCs w:val="0"/>
          <w:color w:val="000000" w:themeColor="text1"/>
        </w:rPr>
        <w:t xml:space="preserve">outcome of active </w:t>
      </w:r>
      <w:r w:rsidRPr="006E3043">
        <w:rPr>
          <w:rFonts w:ascii="Arial" w:hAnsi="Arial"/>
          <w:b w:val="0"/>
          <w:bCs w:val="0"/>
          <w:color w:val="000000" w:themeColor="text1"/>
        </w:rPr>
        <w:t xml:space="preserve">managers </w:t>
      </w:r>
      <w:r>
        <w:rPr>
          <w:rFonts w:ascii="Arial" w:hAnsi="Arial"/>
          <w:b w:val="0"/>
          <w:bCs w:val="0"/>
          <w:color w:val="000000" w:themeColor="text1"/>
        </w:rPr>
        <w:t>making</w:t>
      </w:r>
      <w:r w:rsidRPr="006E3043">
        <w:rPr>
          <w:rFonts w:ascii="Arial" w:hAnsi="Arial"/>
          <w:b w:val="0"/>
          <w:bCs w:val="0"/>
          <w:color w:val="000000" w:themeColor="text1"/>
        </w:rPr>
        <w:t xml:space="preserve"> stock selection decisions </w:t>
      </w:r>
      <w:r>
        <w:rPr>
          <w:rFonts w:ascii="Arial" w:hAnsi="Arial"/>
          <w:b w:val="0"/>
          <w:bCs w:val="0"/>
          <w:color w:val="000000" w:themeColor="text1"/>
        </w:rPr>
        <w:t>rather than passively buying an index</w:t>
      </w:r>
      <w:r w:rsidRPr="006E3043">
        <w:rPr>
          <w:rFonts w:ascii="Arial" w:hAnsi="Arial"/>
          <w:b w:val="0"/>
          <w:bCs w:val="0"/>
          <w:color w:val="000000" w:themeColor="text1"/>
        </w:rPr>
        <w:t>.</w:t>
      </w:r>
    </w:p>
    <w:p w:rsidR="00603097" w:rsidP="00603097">
      <w:pPr>
        <w:pStyle w:val="treb"/>
        <w:numPr>
          <w:ilvl w:val="0"/>
          <w:numId w:val="0"/>
        </w:numPr>
        <w:spacing w:after="0"/>
        <w:rPr>
          <w:rFonts w:ascii="Arial" w:hAnsi="Arial"/>
          <w:b w:val="0"/>
          <w:bCs w:val="0"/>
          <w:color w:val="000000" w:themeColor="text1"/>
        </w:rPr>
      </w:pPr>
    </w:p>
    <w:p w:rsidR="00603097" w:rsidRPr="00173586" w:rsidP="00603097">
      <w:pPr>
        <w:pStyle w:val="treb"/>
        <w:numPr>
          <w:ilvl w:val="0"/>
          <w:numId w:val="0"/>
        </w:numPr>
        <w:spacing w:after="0"/>
        <w:rPr>
          <w:rFonts w:ascii="Arial" w:hAnsi="Arial"/>
          <w:b w:val="0"/>
          <w:bCs w:val="0"/>
          <w:color w:val="000000" w:themeColor="text1"/>
        </w:rPr>
      </w:pPr>
      <w:r w:rsidRPr="006E3043">
        <w:rPr>
          <w:rFonts w:ascii="Arial" w:hAnsi="Arial"/>
          <w:b w:val="0"/>
          <w:bCs w:val="0"/>
          <w:color w:val="000000" w:themeColor="text1"/>
        </w:rPr>
        <w:t xml:space="preserve">The GEF </w:t>
      </w:r>
      <w:r>
        <w:rPr>
          <w:rFonts w:ascii="Arial" w:hAnsi="Arial"/>
          <w:b w:val="0"/>
          <w:bCs w:val="0"/>
          <w:color w:val="000000" w:themeColor="text1"/>
        </w:rPr>
        <w:t xml:space="preserve">continues to be </w:t>
      </w:r>
      <w:r w:rsidRPr="006E3043">
        <w:rPr>
          <w:rFonts w:ascii="Arial" w:hAnsi="Arial"/>
          <w:b w:val="0"/>
          <w:bCs w:val="0"/>
          <w:color w:val="000000" w:themeColor="text1"/>
        </w:rPr>
        <w:t xml:space="preserve">underweight </w:t>
      </w:r>
      <w:r>
        <w:rPr>
          <w:rFonts w:ascii="Arial" w:hAnsi="Arial"/>
          <w:b w:val="0"/>
          <w:bCs w:val="0"/>
          <w:color w:val="000000" w:themeColor="text1"/>
        </w:rPr>
        <w:t xml:space="preserve">conventional </w:t>
      </w:r>
      <w:r w:rsidRPr="006E3043">
        <w:rPr>
          <w:rFonts w:ascii="Arial" w:hAnsi="Arial"/>
          <w:b w:val="0"/>
          <w:bCs w:val="0"/>
          <w:color w:val="000000" w:themeColor="text1"/>
        </w:rPr>
        <w:t>energy (</w:t>
      </w:r>
      <w:r>
        <w:rPr>
          <w:rFonts w:ascii="Arial" w:hAnsi="Arial"/>
          <w:b w:val="0"/>
          <w:bCs w:val="0"/>
          <w:color w:val="000000" w:themeColor="text1"/>
        </w:rPr>
        <w:t xml:space="preserve">GEF </w:t>
      </w:r>
      <w:r w:rsidRPr="006E3043">
        <w:rPr>
          <w:rFonts w:ascii="Arial" w:hAnsi="Arial"/>
          <w:b w:val="0"/>
          <w:bCs w:val="0"/>
          <w:color w:val="000000" w:themeColor="text1"/>
        </w:rPr>
        <w:t>0.</w:t>
      </w:r>
      <w:r>
        <w:rPr>
          <w:rFonts w:ascii="Arial" w:hAnsi="Arial"/>
          <w:b w:val="0"/>
          <w:bCs w:val="0"/>
          <w:color w:val="000000" w:themeColor="text1"/>
        </w:rPr>
        <w:t>6</w:t>
      </w:r>
      <w:r w:rsidRPr="006E3043">
        <w:rPr>
          <w:rFonts w:ascii="Arial" w:hAnsi="Arial"/>
          <w:b w:val="0"/>
          <w:bCs w:val="0"/>
          <w:color w:val="000000" w:themeColor="text1"/>
        </w:rPr>
        <w:t xml:space="preserve">% versus </w:t>
      </w:r>
      <w:r>
        <w:rPr>
          <w:rFonts w:ascii="Arial" w:hAnsi="Arial"/>
          <w:b w:val="0"/>
          <w:bCs w:val="0"/>
          <w:color w:val="000000" w:themeColor="text1"/>
        </w:rPr>
        <w:t>3</w:t>
      </w:r>
      <w:r w:rsidRPr="006E3043">
        <w:rPr>
          <w:rFonts w:ascii="Arial" w:hAnsi="Arial"/>
          <w:b w:val="0"/>
          <w:bCs w:val="0"/>
          <w:color w:val="000000" w:themeColor="text1"/>
        </w:rPr>
        <w:t>.</w:t>
      </w:r>
      <w:r>
        <w:rPr>
          <w:rFonts w:ascii="Arial" w:hAnsi="Arial"/>
          <w:b w:val="0"/>
          <w:bCs w:val="0"/>
          <w:color w:val="000000" w:themeColor="text1"/>
        </w:rPr>
        <w:t>3</w:t>
      </w:r>
      <w:r w:rsidRPr="006E3043">
        <w:rPr>
          <w:rFonts w:ascii="Arial" w:hAnsi="Arial"/>
          <w:b w:val="0"/>
          <w:bCs w:val="0"/>
          <w:color w:val="000000" w:themeColor="text1"/>
        </w:rPr>
        <w:t>% for MSCI ACWI)</w:t>
      </w:r>
      <w:r>
        <w:rPr>
          <w:rFonts w:ascii="Arial" w:hAnsi="Arial"/>
          <w:b w:val="0"/>
          <w:bCs w:val="0"/>
          <w:color w:val="000000" w:themeColor="text1"/>
        </w:rPr>
        <w:t xml:space="preserve"> </w:t>
      </w:r>
      <w:r w:rsidRPr="006E3043">
        <w:rPr>
          <w:rFonts w:ascii="Arial" w:hAnsi="Arial"/>
          <w:b w:val="0"/>
          <w:bCs w:val="0"/>
          <w:color w:val="000000" w:themeColor="text1"/>
        </w:rPr>
        <w:t>indicating</w:t>
      </w:r>
      <w:r>
        <w:rPr>
          <w:rFonts w:ascii="Arial" w:hAnsi="Arial"/>
          <w:b w:val="0"/>
          <w:bCs w:val="0"/>
          <w:color w:val="000000" w:themeColor="text1"/>
        </w:rPr>
        <w:t xml:space="preserve"> a much</w:t>
      </w:r>
      <w:r w:rsidRPr="006E3043">
        <w:rPr>
          <w:rFonts w:ascii="Arial" w:hAnsi="Arial"/>
          <w:b w:val="0"/>
          <w:bCs w:val="0"/>
          <w:color w:val="000000" w:themeColor="text1"/>
        </w:rPr>
        <w:t xml:space="preserve"> low</w:t>
      </w:r>
      <w:r>
        <w:rPr>
          <w:rFonts w:ascii="Arial" w:hAnsi="Arial"/>
          <w:b w:val="0"/>
          <w:bCs w:val="0"/>
          <w:color w:val="000000" w:themeColor="text1"/>
        </w:rPr>
        <w:t>er</w:t>
      </w:r>
      <w:r w:rsidRPr="006E3043">
        <w:rPr>
          <w:rFonts w:ascii="Arial" w:hAnsi="Arial"/>
          <w:b w:val="0"/>
          <w:bCs w:val="0"/>
          <w:color w:val="000000" w:themeColor="text1"/>
        </w:rPr>
        <w:t xml:space="preserve"> exposure to companies extracting, transporting, storing, and supplying fossil fuels</w:t>
      </w:r>
      <w:r>
        <w:rPr>
          <w:rFonts w:ascii="Arial" w:hAnsi="Arial"/>
          <w:b w:val="0"/>
          <w:bCs w:val="0"/>
          <w:color w:val="000000" w:themeColor="text1"/>
        </w:rPr>
        <w:t>. This is in line with the Fund’s stance on climate change.</w:t>
      </w:r>
    </w:p>
    <w:p w:rsidR="00173586" w:rsidP="00603097">
      <w:pPr>
        <w:pStyle w:val="treb"/>
        <w:numPr>
          <w:ilvl w:val="0"/>
          <w:numId w:val="0"/>
        </w:numPr>
        <w:spacing w:after="0"/>
        <w:rPr>
          <w:rFonts w:ascii="Arial" w:hAnsi="Arial"/>
          <w:b w:val="0"/>
          <w:bCs w:val="0"/>
          <w:color w:val="000000" w:themeColor="text1"/>
          <w:highlight w:val="yellow"/>
        </w:rPr>
      </w:pPr>
    </w:p>
    <w:p w:rsidR="001B237C" w:rsidRPr="001B237C" w:rsidP="00603097">
      <w:pPr>
        <w:pStyle w:val="treb"/>
        <w:numPr>
          <w:ilvl w:val="0"/>
          <w:numId w:val="0"/>
        </w:numPr>
        <w:spacing w:after="0"/>
        <w:rPr>
          <w:rFonts w:ascii="Arial" w:hAnsi="Arial"/>
          <w:b w:val="0"/>
          <w:bCs w:val="0"/>
          <w:i/>
          <w:iCs/>
          <w:color w:val="000000" w:themeColor="text1"/>
        </w:rPr>
      </w:pPr>
      <w:r w:rsidRPr="001B237C">
        <w:rPr>
          <w:rFonts w:ascii="Arial" w:hAnsi="Arial"/>
          <w:b w:val="0"/>
          <w:bCs w:val="0"/>
          <w:i/>
          <w:iCs/>
          <w:color w:val="000000" w:themeColor="text1"/>
        </w:rPr>
        <w:t>Top 10 Positions</w:t>
      </w:r>
    </w:p>
    <w:p w:rsidR="0013601D" w:rsidP="001B237C">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T</w:t>
      </w:r>
      <w:r w:rsidRPr="006E3043">
        <w:rPr>
          <w:rFonts w:ascii="Arial" w:hAnsi="Arial"/>
          <w:b w:val="0"/>
          <w:bCs w:val="0"/>
          <w:color w:val="000000" w:themeColor="text1"/>
        </w:rPr>
        <w:t xml:space="preserve">he </w:t>
      </w:r>
      <w:r>
        <w:rPr>
          <w:rFonts w:ascii="Arial" w:hAnsi="Arial"/>
          <w:b w:val="0"/>
          <w:bCs w:val="0"/>
          <w:color w:val="000000" w:themeColor="text1"/>
        </w:rPr>
        <w:t>top 10 companies (10 largest positions) make up 23.5% of the total</w:t>
      </w:r>
      <w:r w:rsidRPr="00173586">
        <w:rPr>
          <w:rFonts w:ascii="Arial" w:hAnsi="Arial"/>
          <w:b w:val="0"/>
          <w:bCs w:val="0"/>
          <w:color w:val="000000" w:themeColor="text1"/>
        </w:rPr>
        <w:t xml:space="preserve"> </w:t>
      </w:r>
      <w:r>
        <w:rPr>
          <w:rFonts w:ascii="Arial" w:hAnsi="Arial"/>
          <w:b w:val="0"/>
          <w:bCs w:val="0"/>
          <w:color w:val="000000" w:themeColor="text1"/>
        </w:rPr>
        <w:t xml:space="preserve">LPPI GEF. </w:t>
      </w:r>
    </w:p>
    <w:p w:rsidR="001B237C" w:rsidP="001B237C">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There has been no change in ranking since last quarter for the top 7 companies; Estee Lauder has moved to 8</w:t>
      </w:r>
      <w:r w:rsidRPr="003931E2">
        <w:rPr>
          <w:rFonts w:ascii="Arial" w:hAnsi="Arial"/>
          <w:b w:val="0"/>
          <w:bCs w:val="0"/>
          <w:color w:val="000000" w:themeColor="text1"/>
          <w:vertAlign w:val="superscript"/>
        </w:rPr>
        <w:t>th</w:t>
      </w:r>
      <w:r>
        <w:rPr>
          <w:rFonts w:ascii="Arial" w:hAnsi="Arial"/>
          <w:b w:val="0"/>
          <w:bCs w:val="0"/>
          <w:color w:val="000000" w:themeColor="text1"/>
        </w:rPr>
        <w:t xml:space="preserve">, </w:t>
      </w:r>
      <w:r>
        <w:rPr>
          <w:rFonts w:ascii="Arial" w:hAnsi="Arial"/>
          <w:b w:val="0"/>
          <w:bCs w:val="0"/>
          <w:color w:val="000000" w:themeColor="text1"/>
        </w:rPr>
        <w:t>Autozone</w:t>
      </w:r>
      <w:r>
        <w:rPr>
          <w:rFonts w:ascii="Arial" w:hAnsi="Arial"/>
          <w:b w:val="0"/>
          <w:bCs w:val="0"/>
          <w:color w:val="000000" w:themeColor="text1"/>
        </w:rPr>
        <w:t xml:space="preserve"> has entered the list at 9</w:t>
      </w:r>
      <w:r w:rsidRPr="00312FCA">
        <w:rPr>
          <w:rFonts w:ascii="Arial" w:hAnsi="Arial"/>
          <w:b w:val="0"/>
          <w:bCs w:val="0"/>
          <w:color w:val="000000" w:themeColor="text1"/>
          <w:vertAlign w:val="superscript"/>
        </w:rPr>
        <w:t>th</w:t>
      </w:r>
      <w:r>
        <w:rPr>
          <w:rFonts w:ascii="Arial" w:hAnsi="Arial"/>
          <w:b w:val="0"/>
          <w:bCs w:val="0"/>
          <w:color w:val="000000" w:themeColor="text1"/>
        </w:rPr>
        <w:t>, and SPDR Gold Shares have remained 10</w:t>
      </w:r>
      <w:r w:rsidRPr="00312FCA">
        <w:rPr>
          <w:rFonts w:ascii="Arial" w:hAnsi="Arial"/>
          <w:b w:val="0"/>
          <w:bCs w:val="0"/>
          <w:color w:val="000000" w:themeColor="text1"/>
          <w:vertAlign w:val="superscript"/>
        </w:rPr>
        <w:t>th</w:t>
      </w:r>
      <w:r>
        <w:rPr>
          <w:rFonts w:ascii="Arial" w:hAnsi="Arial"/>
          <w:b w:val="0"/>
          <w:bCs w:val="0"/>
          <w:color w:val="000000" w:themeColor="text1"/>
        </w:rPr>
        <w:t xml:space="preserve"> with Apple displaced from the list</w:t>
      </w:r>
      <w:r w:rsidRPr="006E3043">
        <w:rPr>
          <w:rFonts w:ascii="Arial" w:hAnsi="Arial"/>
          <w:b w:val="0"/>
          <w:bCs w:val="0"/>
          <w:color w:val="000000" w:themeColor="text1"/>
        </w:rPr>
        <w:t xml:space="preserve">. </w:t>
      </w:r>
    </w:p>
    <w:p w:rsidR="00173586" w:rsidP="001B237C">
      <w:pPr>
        <w:pStyle w:val="treb"/>
        <w:numPr>
          <w:ilvl w:val="0"/>
          <w:numId w:val="0"/>
        </w:numPr>
        <w:spacing w:after="0"/>
        <w:rPr>
          <w:rFonts w:ascii="Arial" w:hAnsi="Arial"/>
          <w:b w:val="0"/>
          <w:bCs w:val="0"/>
          <w:i/>
          <w:iCs/>
          <w:color w:val="000000" w:themeColor="text1"/>
        </w:rPr>
      </w:pPr>
    </w:p>
    <w:p w:rsidR="001B237C" w:rsidRPr="001B237C" w:rsidP="001B237C">
      <w:pPr>
        <w:pStyle w:val="treb"/>
        <w:numPr>
          <w:ilvl w:val="0"/>
          <w:numId w:val="0"/>
        </w:numPr>
        <w:spacing w:after="0"/>
        <w:rPr>
          <w:rFonts w:ascii="Arial" w:hAnsi="Arial"/>
          <w:b w:val="0"/>
          <w:bCs w:val="0"/>
          <w:i/>
          <w:iCs/>
          <w:color w:val="000000" w:themeColor="text1"/>
        </w:rPr>
      </w:pPr>
      <w:r w:rsidRPr="001B237C">
        <w:rPr>
          <w:rFonts w:ascii="Arial" w:hAnsi="Arial"/>
          <w:b w:val="0"/>
          <w:bCs w:val="0"/>
          <w:i/>
          <w:iCs/>
          <w:color w:val="000000" w:themeColor="text1"/>
        </w:rPr>
        <w:t>Portfolio ESG Score</w:t>
      </w:r>
    </w:p>
    <w:p w:rsidR="0013601D" w:rsidP="001B237C">
      <w:pPr>
        <w:pStyle w:val="treb"/>
        <w:numPr>
          <w:ilvl w:val="0"/>
          <w:numId w:val="0"/>
        </w:numPr>
        <w:spacing w:after="0"/>
        <w:rPr>
          <w:rFonts w:ascii="Arial" w:hAnsi="Arial"/>
          <w:b w:val="0"/>
          <w:bCs w:val="0"/>
          <w:color w:val="000000" w:themeColor="text1"/>
        </w:rPr>
      </w:pPr>
      <w:r w:rsidRPr="00DD7F47">
        <w:rPr>
          <w:rFonts w:ascii="Arial" w:hAnsi="Arial"/>
          <w:b w:val="0"/>
          <w:bCs w:val="0"/>
          <w:color w:val="000000" w:themeColor="text1"/>
        </w:rPr>
        <w:t xml:space="preserve">The GEF’s Portfolio ESG score </w:t>
      </w:r>
      <w:r>
        <w:rPr>
          <w:rFonts w:ascii="Arial" w:hAnsi="Arial"/>
          <w:b w:val="0"/>
          <w:bCs w:val="0"/>
          <w:color w:val="000000" w:themeColor="text1"/>
        </w:rPr>
        <w:t xml:space="preserve">has risen from 5.1 (Q4) to 5.2 (Q1). In the same period the equivalent score for the benchmark increased from 4.9 (Q4) to 5.0 (Q1). </w:t>
      </w:r>
    </w:p>
    <w:p w:rsidR="001B237C" w:rsidP="00603097">
      <w:pPr>
        <w:pStyle w:val="treb"/>
        <w:numPr>
          <w:ilvl w:val="0"/>
          <w:numId w:val="0"/>
        </w:numPr>
        <w:spacing w:after="0"/>
        <w:rPr>
          <w:rFonts w:ascii="Arial" w:hAnsi="Arial"/>
          <w:b w:val="0"/>
          <w:color w:val="000000" w:themeColor="text1"/>
        </w:rPr>
      </w:pPr>
    </w:p>
    <w:p w:rsidR="00603097" w:rsidRPr="001B237C" w:rsidP="00603097">
      <w:pPr>
        <w:pStyle w:val="treb"/>
        <w:numPr>
          <w:ilvl w:val="0"/>
          <w:numId w:val="0"/>
        </w:numPr>
        <w:spacing w:after="0"/>
        <w:rPr>
          <w:rFonts w:ascii="Arial" w:hAnsi="Arial"/>
          <w:b w:val="0"/>
          <w:bCs w:val="0"/>
          <w:i/>
          <w:iCs/>
          <w:color w:val="000000" w:themeColor="text1"/>
        </w:rPr>
      </w:pPr>
      <w:r w:rsidRPr="001B237C">
        <w:rPr>
          <w:rFonts w:ascii="Arial" w:hAnsi="Arial"/>
          <w:b w:val="0"/>
          <w:i/>
          <w:iCs/>
          <w:color w:val="000000" w:themeColor="text1"/>
        </w:rPr>
        <w:t xml:space="preserve">Transition Pathway </w:t>
      </w:r>
      <w:r w:rsidRPr="001B237C">
        <w:rPr>
          <w:rFonts w:ascii="Arial" w:hAnsi="Arial"/>
          <w:b w:val="0"/>
          <w:i/>
          <w:iCs/>
        </w:rPr>
        <w:t>Initiative</w:t>
      </w:r>
      <w:r>
        <w:rPr>
          <w:rFonts w:ascii="Arial" w:hAnsi="Arial"/>
          <w:b w:val="0"/>
          <w:i/>
          <w:iCs/>
        </w:rPr>
        <w:t xml:space="preserve"> (TPI)</w:t>
      </w:r>
    </w:p>
    <w:p w:rsidR="00603097" w:rsidP="00603097">
      <w:pPr>
        <w:pStyle w:val="treb"/>
        <w:numPr>
          <w:ilvl w:val="0"/>
          <w:numId w:val="0"/>
        </w:numPr>
        <w:spacing w:after="0"/>
        <w:rPr>
          <w:rFonts w:ascii="Arial" w:hAnsi="Arial"/>
          <w:b w:val="0"/>
        </w:rPr>
      </w:pPr>
      <w:r>
        <w:rPr>
          <w:rFonts w:ascii="Arial" w:hAnsi="Arial"/>
          <w:b w:val="0"/>
          <w:bCs w:val="0"/>
          <w:color w:val="000000" w:themeColor="text1"/>
        </w:rPr>
        <w:t>Monitoring</w:t>
      </w:r>
      <w:r w:rsidRPr="00642684">
        <w:rPr>
          <w:rFonts w:ascii="Arial" w:hAnsi="Arial"/>
          <w:b w:val="0"/>
          <w:bCs w:val="0"/>
          <w:color w:val="000000" w:themeColor="text1"/>
        </w:rPr>
        <w:t xml:space="preserve"> </w:t>
      </w:r>
      <w:r>
        <w:rPr>
          <w:rFonts w:ascii="Arial" w:hAnsi="Arial"/>
          <w:b w:val="0"/>
          <w:bCs w:val="0"/>
          <w:color w:val="000000" w:themeColor="text1"/>
        </w:rPr>
        <w:t>against</w:t>
      </w:r>
      <w:r w:rsidRPr="00642684">
        <w:rPr>
          <w:rFonts w:ascii="Arial" w:hAnsi="Arial"/>
          <w:b w:val="0"/>
          <w:bCs w:val="0"/>
          <w:color w:val="000000" w:themeColor="text1"/>
        </w:rPr>
        <w:t xml:space="preserve"> </w:t>
      </w:r>
      <w:bookmarkStart w:id="5" w:name="_Hlk55452132"/>
      <w:r w:rsidRPr="00642684">
        <w:rPr>
          <w:rFonts w:ascii="Arial" w:hAnsi="Arial"/>
          <w:b w:val="0"/>
        </w:rPr>
        <w:t>TPI</w:t>
      </w:r>
      <w:bookmarkEnd w:id="5"/>
      <w:r w:rsidRPr="009E303D">
        <w:rPr>
          <w:rStyle w:val="FootnoteReference"/>
          <w:rFonts w:ascii="Arial" w:hAnsi="Arial"/>
          <w:b w:val="0"/>
          <w:bCs w:val="0"/>
          <w:color w:val="009999"/>
        </w:rPr>
        <w:t xml:space="preserve"> </w:t>
      </w:r>
      <w:r w:rsidRPr="00B77540">
        <w:rPr>
          <w:rStyle w:val="FootnoteReference"/>
          <w:rFonts w:ascii="Arial" w:hAnsi="Arial"/>
          <w:b w:val="0"/>
          <w:bCs w:val="0"/>
          <w:color w:val="009999"/>
        </w:rPr>
        <w:t>R</w:t>
      </w:r>
      <w:r>
        <w:rPr>
          <w:rFonts w:ascii="Arial" w:hAnsi="Arial"/>
          <w:b w:val="0"/>
          <w:bCs w:val="0"/>
          <w:color w:val="009999"/>
        </w:rPr>
        <w:t xml:space="preserve"> </w:t>
      </w:r>
      <w:r>
        <w:rPr>
          <w:rFonts w:ascii="Arial" w:hAnsi="Arial"/>
          <w:b w:val="0"/>
        </w:rPr>
        <w:t xml:space="preserve">Management Quality ratings confirms the GEF continues its </w:t>
      </w:r>
      <w:r w:rsidRPr="00642684">
        <w:rPr>
          <w:rFonts w:ascii="Arial" w:hAnsi="Arial"/>
          <w:b w:val="0"/>
          <w:color w:val="000000" w:themeColor="text1"/>
        </w:rPr>
        <w:t xml:space="preserve">relatively low exposure </w:t>
      </w:r>
      <w:r w:rsidRPr="00642684">
        <w:rPr>
          <w:rFonts w:ascii="Arial" w:hAnsi="Arial"/>
          <w:b w:val="0"/>
        </w:rPr>
        <w:t xml:space="preserve">to </w:t>
      </w:r>
      <w:r>
        <w:rPr>
          <w:rFonts w:ascii="Arial" w:hAnsi="Arial"/>
          <w:b w:val="0"/>
        </w:rPr>
        <w:t xml:space="preserve">highly </w:t>
      </w:r>
      <w:r w:rsidRPr="00642684">
        <w:rPr>
          <w:rFonts w:ascii="Arial" w:hAnsi="Arial"/>
          <w:b w:val="0"/>
        </w:rPr>
        <w:t>carbon intensive activities.</w:t>
      </w:r>
      <w:r>
        <w:rPr>
          <w:rFonts w:ascii="Arial" w:hAnsi="Arial"/>
          <w:b w:val="0"/>
        </w:rPr>
        <w:t xml:space="preserve"> By value, only 13</w:t>
      </w:r>
      <w:r w:rsidRPr="00642684">
        <w:rPr>
          <w:rFonts w:ascii="Arial" w:hAnsi="Arial"/>
          <w:b w:val="0"/>
        </w:rPr>
        <w:t xml:space="preserve">% of </w:t>
      </w:r>
      <w:r>
        <w:rPr>
          <w:rFonts w:ascii="Arial" w:hAnsi="Arial"/>
          <w:b w:val="0"/>
        </w:rPr>
        <w:t>the GEF is in</w:t>
      </w:r>
      <w:r w:rsidRPr="00642684">
        <w:rPr>
          <w:rFonts w:ascii="Arial" w:hAnsi="Arial"/>
          <w:b w:val="0"/>
        </w:rPr>
        <w:t xml:space="preserve"> </w:t>
      </w:r>
      <w:r>
        <w:rPr>
          <w:rFonts w:ascii="Arial" w:hAnsi="Arial"/>
          <w:b w:val="0"/>
        </w:rPr>
        <w:t xml:space="preserve">the globally high emitting companies </w:t>
      </w:r>
      <w:r w:rsidRPr="00642684">
        <w:rPr>
          <w:rFonts w:ascii="Arial" w:hAnsi="Arial"/>
          <w:b w:val="0"/>
        </w:rPr>
        <w:t xml:space="preserve">under </w:t>
      </w:r>
      <w:r>
        <w:rPr>
          <w:rFonts w:ascii="Arial" w:hAnsi="Arial"/>
          <w:b w:val="0"/>
        </w:rPr>
        <w:t xml:space="preserve">TPI </w:t>
      </w:r>
      <w:r w:rsidRPr="00642684">
        <w:rPr>
          <w:rFonts w:ascii="Arial" w:hAnsi="Arial"/>
          <w:b w:val="0"/>
        </w:rPr>
        <w:t>assessment</w:t>
      </w:r>
      <w:r>
        <w:rPr>
          <w:rFonts w:ascii="Arial" w:hAnsi="Arial"/>
          <w:b w:val="0"/>
        </w:rPr>
        <w:t xml:space="preserve"> (unchanged from Q4). This is despite TPI rating coverage expanding by 44 additional companies</w:t>
      </w:r>
      <w:r w:rsidRPr="00642684">
        <w:rPr>
          <w:rFonts w:ascii="Arial" w:hAnsi="Arial"/>
          <w:b w:val="0"/>
        </w:rPr>
        <w:t xml:space="preserve"> </w:t>
      </w:r>
      <w:r>
        <w:rPr>
          <w:rFonts w:ascii="Arial" w:hAnsi="Arial"/>
          <w:b w:val="0"/>
        </w:rPr>
        <w:t>in Q1.</w:t>
      </w:r>
    </w:p>
    <w:p w:rsidR="00603097" w:rsidP="00603097">
      <w:pPr>
        <w:pStyle w:val="treb"/>
        <w:numPr>
          <w:ilvl w:val="0"/>
          <w:numId w:val="0"/>
        </w:numPr>
        <w:spacing w:after="0"/>
        <w:rPr>
          <w:rFonts w:ascii="Arial" w:hAnsi="Arial"/>
          <w:b w:val="0"/>
        </w:rPr>
      </w:pPr>
    </w:p>
    <w:p w:rsidR="00603097" w:rsidRPr="007A7D74" w:rsidP="00603097">
      <w:pPr>
        <w:pStyle w:val="treb"/>
        <w:numPr>
          <w:ilvl w:val="0"/>
          <w:numId w:val="0"/>
        </w:numPr>
        <w:spacing w:after="0"/>
        <w:rPr>
          <w:rFonts w:ascii="Arial" w:hAnsi="Arial"/>
          <w:b w:val="0"/>
        </w:rPr>
      </w:pPr>
      <w:r>
        <w:rPr>
          <w:rFonts w:ascii="Arial" w:hAnsi="Arial"/>
          <w:b w:val="0"/>
          <w:bCs w:val="0"/>
          <w:color w:val="000000" w:themeColor="text1"/>
        </w:rPr>
        <w:t>T</w:t>
      </w:r>
      <w:r>
        <w:rPr>
          <w:rFonts w:ascii="Arial" w:hAnsi="Arial"/>
          <w:b w:val="0"/>
        </w:rPr>
        <w:t xml:space="preserve">he number of GEF companies in scope of TPI scoring has decreased by 8 (Q4 36, Q1 24). This reflects the expansion of the TPI universe (44 new companies brought within rating) and a change in the portfolio (liquidation of an external manager mandate which involved positions being sold). </w:t>
      </w:r>
    </w:p>
    <w:p w:rsidR="00603097" w:rsidP="00603097">
      <w:pPr>
        <w:pStyle w:val="treb"/>
        <w:numPr>
          <w:ilvl w:val="0"/>
          <w:numId w:val="0"/>
        </w:numPr>
        <w:spacing w:after="0"/>
        <w:rPr>
          <w:rFonts w:ascii="Arial" w:hAnsi="Arial"/>
          <w:b w:val="0"/>
        </w:rPr>
      </w:pPr>
    </w:p>
    <w:p w:rsidR="00603097" w:rsidRPr="00642684" w:rsidP="00603097">
      <w:pPr>
        <w:pStyle w:val="treb"/>
        <w:numPr>
          <w:ilvl w:val="0"/>
          <w:numId w:val="0"/>
        </w:numPr>
        <w:spacing w:after="0"/>
        <w:rPr>
          <w:rFonts w:ascii="Arial" w:hAnsi="Arial"/>
          <w:b w:val="0"/>
        </w:rPr>
      </w:pPr>
      <w:r w:rsidRPr="00642684">
        <w:rPr>
          <w:rFonts w:ascii="Arial" w:hAnsi="Arial"/>
          <w:b w:val="0"/>
        </w:rPr>
        <w:t xml:space="preserve">Of the </w:t>
      </w:r>
      <w:r>
        <w:rPr>
          <w:rFonts w:ascii="Arial" w:hAnsi="Arial"/>
          <w:b w:val="0"/>
        </w:rPr>
        <w:t xml:space="preserve">24 </w:t>
      </w:r>
      <w:r w:rsidRPr="00642684">
        <w:rPr>
          <w:rFonts w:ascii="Arial" w:hAnsi="Arial"/>
          <w:b w:val="0"/>
        </w:rPr>
        <w:t xml:space="preserve">companies </w:t>
      </w:r>
      <w:r>
        <w:rPr>
          <w:rFonts w:ascii="Arial" w:hAnsi="Arial"/>
          <w:b w:val="0"/>
        </w:rPr>
        <w:t xml:space="preserve">in </w:t>
      </w:r>
      <w:r w:rsidRPr="00642684">
        <w:rPr>
          <w:rFonts w:ascii="Arial" w:hAnsi="Arial"/>
          <w:b w:val="0"/>
        </w:rPr>
        <w:t xml:space="preserve">TPI </w:t>
      </w:r>
      <w:r>
        <w:rPr>
          <w:rFonts w:ascii="Arial" w:hAnsi="Arial"/>
          <w:b w:val="0"/>
        </w:rPr>
        <w:t>scope</w:t>
      </w:r>
      <w:r w:rsidRPr="00642684">
        <w:rPr>
          <w:rFonts w:ascii="Arial" w:hAnsi="Arial"/>
          <w:b w:val="0"/>
        </w:rPr>
        <w:t>:</w:t>
      </w:r>
    </w:p>
    <w:p w:rsidR="00603097" w:rsidP="003931E2">
      <w:pPr>
        <w:pStyle w:val="treb"/>
        <w:numPr>
          <w:ilvl w:val="0"/>
          <w:numId w:val="5"/>
        </w:numPr>
        <w:spacing w:after="0"/>
        <w:ind w:left="709" w:hanging="709"/>
        <w:rPr>
          <w:rFonts w:ascii="Arial" w:hAnsi="Arial"/>
          <w:b w:val="0"/>
        </w:rPr>
      </w:pPr>
      <w:r w:rsidRPr="00642684">
        <w:rPr>
          <w:rFonts w:ascii="Arial" w:hAnsi="Arial"/>
          <w:b w:val="0"/>
        </w:rPr>
        <w:t>9</w:t>
      </w:r>
      <w:r>
        <w:rPr>
          <w:rFonts w:ascii="Arial" w:hAnsi="Arial"/>
          <w:b w:val="0"/>
        </w:rPr>
        <w:t>1</w:t>
      </w:r>
      <w:r w:rsidRPr="00642684">
        <w:rPr>
          <w:rFonts w:ascii="Arial" w:hAnsi="Arial"/>
          <w:b w:val="0"/>
        </w:rPr>
        <w:t xml:space="preserve">% </w:t>
      </w:r>
      <w:r>
        <w:rPr>
          <w:rFonts w:ascii="Arial" w:hAnsi="Arial"/>
          <w:b w:val="0"/>
        </w:rPr>
        <w:t>(</w:t>
      </w:r>
      <w:r w:rsidRPr="00642684">
        <w:rPr>
          <w:rFonts w:ascii="Arial" w:hAnsi="Arial"/>
          <w:b w:val="0"/>
        </w:rPr>
        <w:t>by value</w:t>
      </w:r>
      <w:r>
        <w:rPr>
          <w:rFonts w:ascii="Arial" w:hAnsi="Arial"/>
          <w:b w:val="0"/>
        </w:rPr>
        <w:t>)</w:t>
      </w:r>
      <w:r w:rsidRPr="00642684">
        <w:rPr>
          <w:rFonts w:ascii="Arial" w:hAnsi="Arial"/>
          <w:b w:val="0"/>
        </w:rPr>
        <w:t xml:space="preserve"> are rated TPI 3 and above – demonstrably integrating climate change into their operational planning (TPI3) and </w:t>
      </w:r>
      <w:r>
        <w:rPr>
          <w:rFonts w:ascii="Arial" w:hAnsi="Arial"/>
          <w:b w:val="0"/>
        </w:rPr>
        <w:t xml:space="preserve">into their </w:t>
      </w:r>
      <w:r w:rsidRPr="00642684">
        <w:rPr>
          <w:rFonts w:ascii="Arial" w:hAnsi="Arial"/>
          <w:b w:val="0"/>
        </w:rPr>
        <w:t>strategic planning (TPI 4).</w:t>
      </w:r>
      <w:r>
        <w:rPr>
          <w:rFonts w:ascii="Arial" w:hAnsi="Arial"/>
          <w:b w:val="0"/>
        </w:rPr>
        <w:t xml:space="preserve"> This is down from 95% in Q4 and mainly reflects one new holding rated poorly by TPI.</w:t>
      </w:r>
    </w:p>
    <w:p w:rsidR="009F4337" w:rsidRPr="00642684" w:rsidP="003931E2">
      <w:pPr>
        <w:pStyle w:val="treb"/>
        <w:numPr>
          <w:ilvl w:val="0"/>
          <w:numId w:val="5"/>
        </w:numPr>
        <w:spacing w:after="0"/>
        <w:ind w:left="709" w:hanging="709"/>
        <w:rPr>
          <w:rFonts w:ascii="Arial" w:hAnsi="Arial"/>
          <w:b w:val="0"/>
        </w:rPr>
      </w:pPr>
      <w:r>
        <w:rPr>
          <w:rFonts w:ascii="Arial" w:hAnsi="Arial"/>
          <w:b w:val="0"/>
        </w:rPr>
        <w:t>7 companies are scored below TPI 3 and under monitoring.</w:t>
      </w:r>
    </w:p>
    <w:p w:rsidR="001D3C22" w:rsidP="003931E2">
      <w:pPr>
        <w:pStyle w:val="treb"/>
        <w:numPr>
          <w:ilvl w:val="0"/>
          <w:numId w:val="5"/>
        </w:numPr>
        <w:spacing w:after="0"/>
        <w:ind w:left="709" w:hanging="709"/>
        <w:rPr>
          <w:rFonts w:ascii="Arial" w:hAnsi="Arial"/>
          <w:b w:val="0"/>
        </w:rPr>
      </w:pPr>
      <w:r>
        <w:rPr>
          <w:rFonts w:ascii="Arial" w:hAnsi="Arial"/>
          <w:b w:val="0"/>
        </w:rPr>
        <w:t>no</w:t>
      </w:r>
      <w:r w:rsidRPr="00642684">
        <w:rPr>
          <w:rFonts w:ascii="Arial" w:hAnsi="Arial"/>
          <w:b w:val="0"/>
        </w:rPr>
        <w:t xml:space="preserve"> extractive fossil fuel companies </w:t>
      </w:r>
      <w:r>
        <w:rPr>
          <w:rFonts w:ascii="Arial" w:hAnsi="Arial"/>
          <w:b w:val="0"/>
        </w:rPr>
        <w:t xml:space="preserve">score below </w:t>
      </w:r>
      <w:r w:rsidRPr="00642684">
        <w:rPr>
          <w:rFonts w:ascii="Arial" w:hAnsi="Arial"/>
          <w:b w:val="0"/>
        </w:rPr>
        <w:t>TPI 3 (100% compliance with LPPI’s target for this sector).</w:t>
      </w:r>
    </w:p>
    <w:p w:rsidR="00603380" w:rsidP="007178A5">
      <w:pPr>
        <w:pStyle w:val="treb"/>
        <w:numPr>
          <w:ilvl w:val="0"/>
          <w:numId w:val="0"/>
        </w:numPr>
        <w:spacing w:after="0"/>
        <w:rPr>
          <w:rFonts w:ascii="Arial" w:hAnsi="Arial"/>
          <w:b w:val="0"/>
          <w:bCs w:val="0"/>
          <w:i/>
          <w:iCs/>
          <w:color w:val="000000" w:themeColor="text1"/>
        </w:rPr>
      </w:pPr>
    </w:p>
    <w:p w:rsidR="001B237C" w:rsidRPr="00EF75A7" w:rsidP="001B237C">
      <w:pPr>
        <w:pStyle w:val="treb"/>
        <w:numPr>
          <w:ilvl w:val="0"/>
          <w:numId w:val="0"/>
        </w:numPr>
        <w:spacing w:after="0"/>
        <w:rPr>
          <w:rFonts w:ascii="Arial" w:hAnsi="Arial"/>
          <w:b w:val="0"/>
          <w:bCs w:val="0"/>
          <w:color w:val="000000" w:themeColor="text1"/>
          <w:u w:val="single"/>
        </w:rPr>
      </w:pPr>
      <w:r w:rsidRPr="00EF75A7">
        <w:rPr>
          <w:rFonts w:ascii="Arial" w:hAnsi="Arial"/>
          <w:b w:val="0"/>
          <w:bCs w:val="0"/>
          <w:color w:val="000000" w:themeColor="text1"/>
          <w:u w:val="single"/>
        </w:rPr>
        <w:t xml:space="preserve">Other asset classes (Dashboard p2) </w:t>
      </w:r>
    </w:p>
    <w:p w:rsidR="00D47957" w:rsidP="00EA6E0A">
      <w:pPr>
        <w:pStyle w:val="treb"/>
        <w:numPr>
          <w:ilvl w:val="0"/>
          <w:numId w:val="0"/>
        </w:numPr>
        <w:spacing w:after="0"/>
        <w:rPr>
          <w:rFonts w:ascii="Arial" w:hAnsi="Arial"/>
          <w:b w:val="0"/>
          <w:bCs w:val="0"/>
          <w:color w:val="000000" w:themeColor="text1"/>
        </w:rPr>
      </w:pPr>
    </w:p>
    <w:p w:rsidR="007178A5" w:rsidP="00EA6E0A">
      <w:pPr>
        <w:pStyle w:val="treb"/>
        <w:numPr>
          <w:ilvl w:val="0"/>
          <w:numId w:val="0"/>
        </w:numPr>
        <w:spacing w:after="0"/>
        <w:rPr>
          <w:rFonts w:ascii="Arial" w:hAnsi="Arial"/>
          <w:b w:val="0"/>
          <w:bCs w:val="0"/>
          <w:i/>
          <w:iCs/>
          <w:color w:val="000000" w:themeColor="text1"/>
        </w:rPr>
      </w:pPr>
      <w:r w:rsidRPr="00EA6E0A">
        <w:rPr>
          <w:rFonts w:ascii="Arial" w:hAnsi="Arial"/>
          <w:b w:val="0"/>
          <w:bCs w:val="0"/>
          <w:i/>
          <w:iCs/>
          <w:color w:val="000000" w:themeColor="text1"/>
        </w:rPr>
        <w:t>Private Equity</w:t>
      </w:r>
      <w:r>
        <w:rPr>
          <w:rFonts w:ascii="Arial" w:hAnsi="Arial"/>
          <w:b w:val="0"/>
          <w:bCs w:val="0"/>
          <w:i/>
          <w:iCs/>
          <w:color w:val="000000" w:themeColor="text1"/>
        </w:rPr>
        <w:t xml:space="preserve"> </w:t>
      </w:r>
    </w:p>
    <w:p w:rsidR="00EA6E0A" w:rsidP="00EA6E0A">
      <w:pPr>
        <w:pStyle w:val="treb"/>
        <w:numPr>
          <w:ilvl w:val="0"/>
          <w:numId w:val="0"/>
        </w:numPr>
        <w:spacing w:after="0"/>
        <w:rPr>
          <w:rFonts w:ascii="Arial" w:hAnsi="Arial"/>
          <w:b w:val="0"/>
          <w:bCs w:val="0"/>
          <w:color w:val="000000" w:themeColor="text1"/>
        </w:rPr>
      </w:pPr>
      <w:bookmarkStart w:id="6" w:name="_Hlk49321015"/>
      <w:r>
        <w:rPr>
          <w:rFonts w:ascii="Arial" w:hAnsi="Arial"/>
          <w:b w:val="0"/>
          <w:bCs w:val="0"/>
          <w:color w:val="000000" w:themeColor="text1"/>
        </w:rPr>
        <w:t xml:space="preserve">Sector and geographical exposures are largely unchanged from Q4.  </w:t>
      </w:r>
      <w:bookmarkEnd w:id="6"/>
      <w:r>
        <w:rPr>
          <w:rFonts w:ascii="Arial" w:hAnsi="Arial"/>
          <w:b w:val="0"/>
          <w:bCs w:val="0"/>
          <w:color w:val="000000" w:themeColor="text1"/>
        </w:rPr>
        <w:t>The portfolio has a strong US presence (43%) and largest sector exposure is to Information Technology (34%).</w:t>
      </w:r>
    </w:p>
    <w:p w:rsidR="00A02195" w:rsidP="00EA6E0A">
      <w:pPr>
        <w:pStyle w:val="treb"/>
        <w:numPr>
          <w:ilvl w:val="0"/>
          <w:numId w:val="0"/>
        </w:numPr>
        <w:spacing w:after="0"/>
        <w:rPr>
          <w:rFonts w:ascii="Arial" w:hAnsi="Arial"/>
          <w:b w:val="0"/>
          <w:bCs w:val="0"/>
          <w:i/>
          <w:iCs/>
          <w:color w:val="000000" w:themeColor="text1"/>
        </w:rPr>
      </w:pPr>
    </w:p>
    <w:p w:rsidR="00A02195" w:rsidP="00EA6E0A">
      <w:pPr>
        <w:pStyle w:val="treb"/>
        <w:numPr>
          <w:ilvl w:val="0"/>
          <w:numId w:val="0"/>
        </w:numPr>
        <w:spacing w:after="0"/>
        <w:rPr>
          <w:rFonts w:ascii="Arial" w:hAnsi="Arial"/>
          <w:b w:val="0"/>
          <w:bCs w:val="0"/>
          <w:i/>
          <w:iCs/>
          <w:color w:val="000000" w:themeColor="text1"/>
        </w:rPr>
      </w:pPr>
      <w:r w:rsidRPr="00950AD1">
        <w:rPr>
          <w:rFonts w:ascii="Arial" w:hAnsi="Arial"/>
          <w:b w:val="0"/>
          <w:bCs w:val="0"/>
          <w:i/>
          <w:iCs/>
          <w:color w:val="000000" w:themeColor="text1"/>
        </w:rPr>
        <w:t>Infrastructure</w:t>
      </w:r>
      <w:r>
        <w:rPr>
          <w:rFonts w:ascii="Arial" w:hAnsi="Arial"/>
          <w:b w:val="0"/>
          <w:bCs w:val="0"/>
          <w:i/>
          <w:iCs/>
          <w:color w:val="000000" w:themeColor="text1"/>
        </w:rPr>
        <w:t xml:space="preserve"> </w:t>
      </w:r>
      <w:bookmarkStart w:id="7" w:name="_Hlk49322794"/>
    </w:p>
    <w:p w:rsidR="00EA6E0A" w:rsidRPr="00A02195" w:rsidP="00EA6E0A">
      <w:pPr>
        <w:pStyle w:val="treb"/>
        <w:numPr>
          <w:ilvl w:val="0"/>
          <w:numId w:val="0"/>
        </w:numPr>
        <w:spacing w:after="0"/>
        <w:rPr>
          <w:rFonts w:ascii="Arial" w:hAnsi="Arial"/>
          <w:b w:val="0"/>
          <w:bCs w:val="0"/>
          <w:i/>
          <w:iCs/>
          <w:color w:val="000000" w:themeColor="text1"/>
        </w:rPr>
      </w:pPr>
      <w:r>
        <w:rPr>
          <w:rFonts w:ascii="Arial" w:hAnsi="Arial"/>
          <w:b w:val="0"/>
          <w:bCs w:val="0"/>
          <w:color w:val="000000" w:themeColor="text1"/>
        </w:rPr>
        <w:t>Sector and geographical exposures are largely unchanged from Q4.</w:t>
      </w:r>
      <w:bookmarkEnd w:id="7"/>
      <w:r>
        <w:rPr>
          <w:rFonts w:ascii="Arial" w:hAnsi="Arial"/>
          <w:b w:val="0"/>
          <w:bCs w:val="0"/>
          <w:color w:val="000000" w:themeColor="text1"/>
        </w:rPr>
        <w:t xml:space="preserve">  The portfolio is predominantly focussed within the UK/Europe (43% / 37%) and is 61% utilities (supply of power and water). </w:t>
      </w:r>
    </w:p>
    <w:p w:rsidR="001A5C71" w:rsidP="00EA6E0A">
      <w:pPr>
        <w:pStyle w:val="treb"/>
        <w:numPr>
          <w:ilvl w:val="0"/>
          <w:numId w:val="0"/>
        </w:numPr>
        <w:spacing w:after="0"/>
        <w:rPr>
          <w:rFonts w:ascii="Arial" w:hAnsi="Arial"/>
          <w:b w:val="0"/>
          <w:bCs w:val="0"/>
          <w:color w:val="000000" w:themeColor="text1"/>
        </w:rPr>
      </w:pPr>
    </w:p>
    <w:p w:rsidR="00084EA7"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 xml:space="preserve">Through a new investment by GLIL Infrastructure, the Fund will be helping to fund the development of the UK’s sustainable energy infrastructure via an investment in Smart Meter Assets. </w:t>
      </w:r>
      <w:r>
        <w:fldChar w:fldCharType="begin"/>
      </w:r>
      <w:r>
        <w:instrText xml:space="preserve"> HYPERLINK "https://www.glil.co.uk/media/glil-infrastructure-and-arcus-acquire-smart-meter-assets" </w:instrText>
      </w:r>
      <w:r>
        <w:fldChar w:fldCharType="separate"/>
      </w:r>
      <w:r w:rsidRPr="0011527B">
        <w:rPr>
          <w:rStyle w:val="Hyperlink"/>
          <w:rFonts w:ascii="Arial" w:hAnsi="Arial"/>
          <w:b w:val="0"/>
          <w:bCs w:val="0"/>
        </w:rPr>
        <w:t>https://www.glil.co.uk/media/glil-infrastructure-and-arcus-acquire-smart-meter-assets</w:t>
      </w:r>
      <w:r>
        <w:fldChar w:fldCharType="end"/>
      </w:r>
    </w:p>
    <w:p w:rsidR="006C6146" w:rsidRPr="00A709B6" w:rsidP="006C6146">
      <w:pPr>
        <w:pStyle w:val="Default"/>
        <w:rPr>
          <w:rFonts w:ascii="Arial" w:hAnsi="Arial" w:eastAsiaTheme="minorHAnsi" w:cs="Arial"/>
          <w:color w:val="000000" w:themeColor="text1"/>
          <w:sz w:val="22"/>
          <w:szCs w:val="22"/>
        </w:rPr>
      </w:pPr>
      <w:r>
        <w:rPr>
          <w:rFonts w:ascii="Arial" w:hAnsi="Arial" w:eastAsiaTheme="minorHAnsi" w:cs="Arial"/>
          <w:color w:val="000000" w:themeColor="text1"/>
          <w:sz w:val="22"/>
          <w:szCs w:val="22"/>
        </w:rPr>
        <w:t>T</w:t>
      </w:r>
      <w:r w:rsidRPr="00A709B6">
        <w:rPr>
          <w:rFonts w:ascii="Arial" w:hAnsi="Arial" w:eastAsiaTheme="minorHAnsi" w:cs="Arial"/>
          <w:color w:val="000000" w:themeColor="text1"/>
          <w:sz w:val="22"/>
          <w:szCs w:val="22"/>
        </w:rPr>
        <w:t>he Real</w:t>
      </w:r>
      <w:r>
        <w:rPr>
          <w:rFonts w:ascii="Arial" w:hAnsi="Arial" w:eastAsiaTheme="minorHAnsi" w:cs="Arial"/>
          <w:color w:val="000000" w:themeColor="text1"/>
          <w:sz w:val="22"/>
          <w:szCs w:val="22"/>
        </w:rPr>
        <w:t>-</w:t>
      </w:r>
      <w:r w:rsidRPr="00A709B6">
        <w:rPr>
          <w:rFonts w:ascii="Arial" w:hAnsi="Arial" w:eastAsiaTheme="minorHAnsi" w:cs="Arial"/>
          <w:color w:val="000000" w:themeColor="text1"/>
          <w:sz w:val="22"/>
          <w:szCs w:val="22"/>
        </w:rPr>
        <w:t xml:space="preserve">World Outcomes section of the dashboard </w:t>
      </w:r>
      <w:r>
        <w:rPr>
          <w:rFonts w:ascii="Arial" w:hAnsi="Arial" w:eastAsiaTheme="minorHAnsi" w:cs="Arial"/>
          <w:color w:val="000000" w:themeColor="text1"/>
          <w:sz w:val="22"/>
          <w:szCs w:val="22"/>
        </w:rPr>
        <w:t>features further examples of socially positive infrastructure investments.</w:t>
      </w:r>
      <w:r w:rsidRPr="00A709B6">
        <w:rPr>
          <w:rFonts w:ascii="Arial" w:hAnsi="Arial" w:eastAsiaTheme="minorHAnsi" w:cs="Arial"/>
          <w:color w:val="000000" w:themeColor="text1"/>
          <w:sz w:val="22"/>
          <w:szCs w:val="22"/>
        </w:rPr>
        <w:t xml:space="preserve"> </w:t>
      </w:r>
      <w:r>
        <w:rPr>
          <w:rFonts w:ascii="Arial" w:hAnsi="Arial" w:eastAsiaTheme="minorHAnsi" w:cs="Arial"/>
          <w:color w:val="000000" w:themeColor="text1"/>
          <w:sz w:val="22"/>
          <w:szCs w:val="22"/>
        </w:rPr>
        <w:t>P</w:t>
      </w:r>
      <w:r w:rsidRPr="00A709B6">
        <w:rPr>
          <w:rFonts w:ascii="Arial" w:hAnsi="Arial" w:eastAsiaTheme="minorHAnsi" w:cs="Arial"/>
          <w:color w:val="000000" w:themeColor="text1"/>
          <w:sz w:val="22"/>
          <w:szCs w:val="22"/>
        </w:rPr>
        <w:t>ages 6-</w:t>
      </w:r>
      <w:r>
        <w:rPr>
          <w:rFonts w:ascii="Arial" w:hAnsi="Arial" w:eastAsiaTheme="minorHAnsi" w:cs="Arial"/>
          <w:color w:val="000000" w:themeColor="text1"/>
          <w:sz w:val="22"/>
          <w:szCs w:val="22"/>
        </w:rPr>
        <w:t xml:space="preserve">7 share information on the renewable energy generation Fund investments are helping to produce in the UK (sufficient to power more than 1 million homes) and feature investments in railway infrastructure </w:t>
      </w:r>
      <w:r w:rsidRPr="0095007C">
        <w:rPr>
          <w:rFonts w:ascii="Arial" w:hAnsi="Arial" w:eastAsiaTheme="minorHAnsi" w:cs="Arial"/>
          <w:color w:val="000000" w:themeColor="text1"/>
          <w:sz w:val="22"/>
          <w:szCs w:val="22"/>
        </w:rPr>
        <w:t xml:space="preserve">directly supporting the </w:t>
      </w:r>
      <w:r w:rsidRPr="0095007C">
        <w:rPr>
          <w:rFonts w:ascii="Arial" w:hAnsi="Arial" w:eastAsiaTheme="minorHAnsi" w:cs="Arial"/>
          <w:color w:val="000000" w:themeColor="text1"/>
          <w:sz w:val="22"/>
          <w:szCs w:val="22"/>
        </w:rPr>
        <w:t xml:space="preserve">railway transport industry in the UK </w:t>
      </w:r>
      <w:r>
        <w:rPr>
          <w:rFonts w:ascii="Arial" w:hAnsi="Arial" w:eastAsiaTheme="minorHAnsi" w:cs="Arial"/>
          <w:color w:val="000000" w:themeColor="text1"/>
          <w:sz w:val="22"/>
          <w:szCs w:val="22"/>
        </w:rPr>
        <w:t xml:space="preserve">and </w:t>
      </w:r>
      <w:r w:rsidRPr="0095007C">
        <w:rPr>
          <w:rFonts w:ascii="Arial" w:hAnsi="Arial" w:eastAsiaTheme="minorHAnsi" w:cs="Arial"/>
          <w:color w:val="000000" w:themeColor="text1"/>
          <w:sz w:val="22"/>
          <w:szCs w:val="22"/>
        </w:rPr>
        <w:t xml:space="preserve">helping to create highly skilled jobs, ease </w:t>
      </w:r>
      <w:r>
        <w:rPr>
          <w:rFonts w:ascii="Arial" w:hAnsi="Arial" w:eastAsiaTheme="minorHAnsi" w:cs="Arial"/>
          <w:color w:val="000000" w:themeColor="text1"/>
          <w:sz w:val="22"/>
          <w:szCs w:val="22"/>
        </w:rPr>
        <w:t xml:space="preserve">transport </w:t>
      </w:r>
      <w:r w:rsidRPr="0095007C">
        <w:rPr>
          <w:rFonts w:ascii="Arial" w:hAnsi="Arial" w:eastAsiaTheme="minorHAnsi" w:cs="Arial"/>
          <w:color w:val="000000" w:themeColor="text1"/>
          <w:sz w:val="22"/>
          <w:szCs w:val="22"/>
        </w:rPr>
        <w:t>congestion, and reduce emissions</w:t>
      </w:r>
      <w:r>
        <w:rPr>
          <w:rFonts w:ascii="Arial" w:hAnsi="Arial" w:eastAsiaTheme="minorHAnsi" w:cs="Arial"/>
          <w:color w:val="000000" w:themeColor="text1"/>
          <w:sz w:val="22"/>
          <w:szCs w:val="22"/>
        </w:rPr>
        <w:t>.</w:t>
      </w:r>
    </w:p>
    <w:p w:rsidR="006C6146" w:rsidP="00EA6E0A">
      <w:pPr>
        <w:pStyle w:val="treb"/>
        <w:numPr>
          <w:ilvl w:val="0"/>
          <w:numId w:val="0"/>
        </w:numPr>
        <w:spacing w:after="0"/>
        <w:rPr>
          <w:rFonts w:ascii="Arial" w:hAnsi="Arial"/>
          <w:b w:val="0"/>
          <w:bCs w:val="0"/>
          <w:color w:val="000000" w:themeColor="text1"/>
        </w:rPr>
      </w:pPr>
    </w:p>
    <w:p w:rsidR="00AE392A" w:rsidP="00AE392A">
      <w:pPr>
        <w:pStyle w:val="treb"/>
        <w:numPr>
          <w:ilvl w:val="0"/>
          <w:numId w:val="0"/>
        </w:numPr>
        <w:spacing w:after="0"/>
        <w:rPr>
          <w:rFonts w:ascii="Arial" w:hAnsi="Arial"/>
          <w:b w:val="0"/>
          <w:bCs w:val="0"/>
          <w:i/>
          <w:iCs/>
          <w:color w:val="000000" w:themeColor="text1"/>
        </w:rPr>
      </w:pPr>
      <w:r w:rsidRPr="001A5C71">
        <w:rPr>
          <w:rFonts w:ascii="Arial" w:hAnsi="Arial"/>
          <w:b w:val="0"/>
          <w:bCs w:val="0"/>
          <w:i/>
          <w:iCs/>
          <w:color w:val="000000" w:themeColor="text1"/>
        </w:rPr>
        <w:t>Real Estate</w:t>
      </w:r>
      <w:r>
        <w:rPr>
          <w:rFonts w:ascii="Arial" w:hAnsi="Arial"/>
          <w:b w:val="0"/>
          <w:bCs w:val="0"/>
          <w:i/>
          <w:iCs/>
          <w:color w:val="000000" w:themeColor="text1"/>
        </w:rPr>
        <w:t xml:space="preserve"> </w:t>
      </w:r>
    </w:p>
    <w:p w:rsidR="001A5C71" w:rsidRPr="008C33E7" w:rsidP="00EA6E0A">
      <w:pPr>
        <w:pStyle w:val="treb"/>
        <w:numPr>
          <w:ilvl w:val="0"/>
          <w:numId w:val="0"/>
        </w:numPr>
        <w:spacing w:after="0"/>
        <w:rPr>
          <w:rFonts w:ascii="Arial" w:hAnsi="Arial"/>
          <w:b w:val="0"/>
          <w:bCs w:val="0"/>
          <w:color w:val="000000" w:themeColor="text1"/>
        </w:rPr>
      </w:pPr>
      <w:r w:rsidRPr="008C33E7">
        <w:rPr>
          <w:rFonts w:ascii="Arial" w:hAnsi="Arial"/>
          <w:b w:val="0"/>
          <w:bCs w:val="0"/>
          <w:color w:val="000000" w:themeColor="text1"/>
        </w:rPr>
        <w:t>Sector and geographical exposures are unchanged from Q</w:t>
      </w:r>
      <w:r>
        <w:rPr>
          <w:rFonts w:ascii="Arial" w:hAnsi="Arial"/>
          <w:b w:val="0"/>
          <w:bCs w:val="0"/>
          <w:color w:val="000000" w:themeColor="text1"/>
        </w:rPr>
        <w:t>4</w:t>
      </w:r>
      <w:r w:rsidRPr="008C33E7">
        <w:rPr>
          <w:rFonts w:ascii="Arial" w:hAnsi="Arial"/>
          <w:b w:val="0"/>
          <w:bCs w:val="0"/>
          <w:color w:val="000000" w:themeColor="text1"/>
        </w:rPr>
        <w:t>.</w:t>
      </w:r>
    </w:p>
    <w:p w:rsidR="000C507C" w:rsidRPr="008C33E7" w:rsidP="00EA6E0A">
      <w:pPr>
        <w:pStyle w:val="treb"/>
        <w:numPr>
          <w:ilvl w:val="0"/>
          <w:numId w:val="0"/>
        </w:numPr>
        <w:spacing w:after="0"/>
        <w:rPr>
          <w:rFonts w:ascii="Arial" w:hAnsi="Arial"/>
          <w:b w:val="0"/>
          <w:bCs w:val="0"/>
          <w:color w:val="000000" w:themeColor="text1"/>
        </w:rPr>
      </w:pPr>
      <w:r w:rsidRPr="008C33E7">
        <w:rPr>
          <w:rFonts w:ascii="Arial" w:hAnsi="Arial"/>
          <w:b w:val="0"/>
          <w:bCs w:val="0"/>
          <w:color w:val="000000" w:themeColor="text1"/>
        </w:rPr>
        <w:t>The portfolio is 7</w:t>
      </w:r>
      <w:r>
        <w:rPr>
          <w:rFonts w:ascii="Arial" w:hAnsi="Arial"/>
          <w:b w:val="0"/>
          <w:bCs w:val="0"/>
          <w:color w:val="000000" w:themeColor="text1"/>
        </w:rPr>
        <w:t>4</w:t>
      </w:r>
      <w:r w:rsidRPr="008C33E7">
        <w:rPr>
          <w:rFonts w:ascii="Arial" w:hAnsi="Arial"/>
          <w:b w:val="0"/>
          <w:bCs w:val="0"/>
          <w:color w:val="000000" w:themeColor="text1"/>
        </w:rPr>
        <w:t>% UK assets and has a 37% weighting to industrial uses (logistics).</w:t>
      </w:r>
    </w:p>
    <w:p w:rsidR="002104A1" w:rsidP="00EA6E0A">
      <w:pPr>
        <w:pStyle w:val="treb"/>
        <w:numPr>
          <w:ilvl w:val="0"/>
          <w:numId w:val="0"/>
        </w:numPr>
        <w:spacing w:after="0"/>
        <w:rPr>
          <w:rFonts w:ascii="Arial" w:hAnsi="Arial"/>
          <w:color w:val="54BBAB"/>
        </w:rPr>
      </w:pPr>
    </w:p>
    <w:p w:rsidR="001865E0" w:rsidP="00EA6E0A">
      <w:pPr>
        <w:pStyle w:val="treb"/>
        <w:numPr>
          <w:ilvl w:val="0"/>
          <w:numId w:val="0"/>
        </w:numPr>
        <w:spacing w:after="0"/>
        <w:rPr>
          <w:rFonts w:ascii="Arial" w:hAnsi="Arial"/>
          <w:b w:val="0"/>
          <w:bCs w:val="0"/>
          <w:i/>
          <w:iCs/>
          <w:color w:val="000000" w:themeColor="text1"/>
        </w:rPr>
      </w:pPr>
      <w:r w:rsidRPr="001865E0">
        <w:rPr>
          <w:rFonts w:ascii="Arial" w:hAnsi="Arial"/>
          <w:b w:val="0"/>
          <w:bCs w:val="0"/>
          <w:i/>
          <w:iCs/>
          <w:color w:val="000000" w:themeColor="text1"/>
        </w:rPr>
        <w:t xml:space="preserve">Green &amp; Brown </w:t>
      </w:r>
      <w:r>
        <w:rPr>
          <w:rFonts w:ascii="Arial" w:hAnsi="Arial"/>
          <w:b w:val="0"/>
          <w:bCs w:val="0"/>
          <w:i/>
          <w:iCs/>
          <w:color w:val="000000" w:themeColor="text1"/>
        </w:rPr>
        <w:t>E</w:t>
      </w:r>
      <w:r w:rsidRPr="001865E0">
        <w:rPr>
          <w:rFonts w:ascii="Arial" w:hAnsi="Arial"/>
          <w:b w:val="0"/>
          <w:bCs w:val="0"/>
          <w:i/>
          <w:iCs/>
          <w:color w:val="000000" w:themeColor="text1"/>
        </w:rPr>
        <w:t>xposures</w:t>
      </w:r>
      <w:r>
        <w:rPr>
          <w:rFonts w:ascii="Arial" w:hAnsi="Arial"/>
          <w:b w:val="0"/>
          <w:bCs w:val="0"/>
          <w:i/>
          <w:iCs/>
          <w:color w:val="000000" w:themeColor="text1"/>
        </w:rPr>
        <w:t xml:space="preserve"> </w:t>
      </w:r>
    </w:p>
    <w:p w:rsidR="00D637C7" w:rsidP="00D637C7">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w:t>
      </w:r>
      <w:r w:rsidRPr="00D27BB4">
        <w:rPr>
          <w:rFonts w:ascii="Arial" w:hAnsi="Arial"/>
          <w:b w:val="0"/>
          <w:bCs w:val="0"/>
          <w:color w:val="000000" w:themeColor="text1"/>
        </w:rPr>
        <w:t>alculat</w:t>
      </w:r>
      <w:r>
        <w:rPr>
          <w:rFonts w:ascii="Arial" w:hAnsi="Arial"/>
          <w:b w:val="0"/>
          <w:bCs w:val="0"/>
          <w:color w:val="000000" w:themeColor="text1"/>
        </w:rPr>
        <w:t>ion of</w:t>
      </w:r>
      <w:r w:rsidRPr="00D27BB4">
        <w:rPr>
          <w:rFonts w:ascii="Arial" w:hAnsi="Arial"/>
          <w:b w:val="0"/>
          <w:bCs w:val="0"/>
          <w:color w:val="000000" w:themeColor="text1"/>
        </w:rPr>
        <w:t xml:space="preserve"> the Fund’s exposure to Green and Brown activities </w:t>
      </w:r>
      <w:r>
        <w:rPr>
          <w:rFonts w:ascii="Arial" w:hAnsi="Arial"/>
          <w:b w:val="0"/>
          <w:bCs w:val="0"/>
          <w:color w:val="000000" w:themeColor="text1"/>
        </w:rPr>
        <w:t>f</w:t>
      </w:r>
      <w:r w:rsidRPr="00D27BB4">
        <w:rPr>
          <w:rFonts w:ascii="Arial" w:hAnsi="Arial"/>
          <w:b w:val="0"/>
          <w:bCs w:val="0"/>
          <w:color w:val="000000" w:themeColor="text1"/>
        </w:rPr>
        <w:t>ocuss</w:t>
      </w:r>
      <w:r>
        <w:rPr>
          <w:rFonts w:ascii="Arial" w:hAnsi="Arial"/>
          <w:b w:val="0"/>
          <w:bCs w:val="0"/>
          <w:color w:val="000000" w:themeColor="text1"/>
        </w:rPr>
        <w:t>es</w:t>
      </w:r>
      <w:r w:rsidRPr="00D27BB4">
        <w:rPr>
          <w:rFonts w:ascii="Arial" w:hAnsi="Arial"/>
          <w:b w:val="0"/>
          <w:bCs w:val="0"/>
          <w:color w:val="000000" w:themeColor="text1"/>
        </w:rPr>
        <w:t xml:space="preserve"> specifically on </w:t>
      </w:r>
      <w:r>
        <w:rPr>
          <w:rFonts w:ascii="Arial" w:hAnsi="Arial"/>
          <w:b w:val="0"/>
          <w:bCs w:val="0"/>
          <w:color w:val="000000" w:themeColor="text1"/>
        </w:rPr>
        <w:t>equity</w:t>
      </w:r>
      <w:r w:rsidRPr="00D27BB4">
        <w:rPr>
          <w:rFonts w:ascii="Arial" w:hAnsi="Arial"/>
          <w:b w:val="0"/>
          <w:bCs w:val="0"/>
          <w:color w:val="000000" w:themeColor="text1"/>
        </w:rPr>
        <w:t xml:space="preserve"> assets </w:t>
      </w:r>
      <w:r>
        <w:rPr>
          <w:rFonts w:ascii="Arial" w:hAnsi="Arial"/>
          <w:b w:val="0"/>
          <w:bCs w:val="0"/>
          <w:color w:val="000000" w:themeColor="text1"/>
        </w:rPr>
        <w:t>(</w:t>
      </w:r>
      <w:r w:rsidRPr="00D27BB4">
        <w:rPr>
          <w:rFonts w:ascii="Arial" w:hAnsi="Arial"/>
          <w:b w:val="0"/>
          <w:bCs w:val="0"/>
          <w:color w:val="000000" w:themeColor="text1"/>
        </w:rPr>
        <w:t>listed equity, private equity</w:t>
      </w:r>
      <w:r>
        <w:rPr>
          <w:rFonts w:ascii="Arial" w:hAnsi="Arial"/>
          <w:b w:val="0"/>
          <w:bCs w:val="0"/>
          <w:color w:val="000000" w:themeColor="text1"/>
        </w:rPr>
        <w:t>,</w:t>
      </w:r>
      <w:r w:rsidRPr="00AD0E9E">
        <w:rPr>
          <w:rFonts w:ascii="Arial" w:hAnsi="Arial"/>
          <w:b w:val="0"/>
          <w:bCs w:val="0"/>
          <w:color w:val="000000" w:themeColor="text1"/>
        </w:rPr>
        <w:t xml:space="preserve"> </w:t>
      </w:r>
      <w:r>
        <w:rPr>
          <w:rFonts w:ascii="Arial" w:hAnsi="Arial"/>
          <w:b w:val="0"/>
          <w:bCs w:val="0"/>
          <w:color w:val="000000" w:themeColor="text1"/>
        </w:rPr>
        <w:t xml:space="preserve">and </w:t>
      </w:r>
      <w:r w:rsidRPr="00D27BB4">
        <w:rPr>
          <w:rFonts w:ascii="Arial" w:hAnsi="Arial"/>
          <w:b w:val="0"/>
          <w:bCs w:val="0"/>
          <w:color w:val="000000" w:themeColor="text1"/>
        </w:rPr>
        <w:t>infrastructure</w:t>
      </w:r>
      <w:r>
        <w:rPr>
          <w:rFonts w:ascii="Arial" w:hAnsi="Arial"/>
          <w:b w:val="0"/>
          <w:bCs w:val="0"/>
          <w:color w:val="000000" w:themeColor="text1"/>
        </w:rPr>
        <w:t>) plus green bonds within fixed income.</w:t>
      </w:r>
      <w:r w:rsidRPr="00D27BB4">
        <w:rPr>
          <w:rFonts w:ascii="Arial" w:hAnsi="Arial"/>
          <w:b w:val="0"/>
          <w:bCs w:val="0"/>
          <w:color w:val="000000" w:themeColor="text1"/>
        </w:rPr>
        <w:t xml:space="preserve"> </w:t>
      </w:r>
      <w:r>
        <w:rPr>
          <w:rFonts w:ascii="Arial" w:hAnsi="Arial"/>
          <w:b w:val="0"/>
          <w:bCs w:val="0"/>
          <w:color w:val="000000" w:themeColor="text1"/>
        </w:rPr>
        <w:t xml:space="preserve">Figures give an indication, rather than a precise measure, </w:t>
      </w:r>
      <w:r w:rsidRPr="00D27BB4">
        <w:rPr>
          <w:rFonts w:ascii="Arial" w:hAnsi="Arial"/>
          <w:b w:val="0"/>
          <w:bCs w:val="0"/>
          <w:color w:val="000000" w:themeColor="text1"/>
        </w:rPr>
        <w:t xml:space="preserve">as an assistance to </w:t>
      </w:r>
      <w:r>
        <w:rPr>
          <w:rFonts w:ascii="Arial" w:hAnsi="Arial"/>
          <w:b w:val="0"/>
          <w:bCs w:val="0"/>
          <w:color w:val="000000" w:themeColor="text1"/>
        </w:rPr>
        <w:t>review</w:t>
      </w:r>
      <w:r w:rsidRPr="00D27BB4">
        <w:rPr>
          <w:rFonts w:ascii="Arial" w:hAnsi="Arial"/>
          <w:b w:val="0"/>
          <w:bCs w:val="0"/>
          <w:color w:val="000000" w:themeColor="text1"/>
        </w:rPr>
        <w:t xml:space="preserve">ing the </w:t>
      </w:r>
      <w:r>
        <w:rPr>
          <w:rFonts w:ascii="Arial" w:hAnsi="Arial"/>
          <w:b w:val="0"/>
          <w:bCs w:val="0"/>
          <w:color w:val="000000" w:themeColor="text1"/>
        </w:rPr>
        <w:t>overall</w:t>
      </w:r>
      <w:r w:rsidRPr="00D27BB4">
        <w:rPr>
          <w:rFonts w:ascii="Arial" w:hAnsi="Arial"/>
          <w:b w:val="0"/>
          <w:bCs w:val="0"/>
          <w:color w:val="000000" w:themeColor="text1"/>
        </w:rPr>
        <w:t xml:space="preserve"> position.</w:t>
      </w:r>
      <w:r>
        <w:rPr>
          <w:rFonts w:ascii="Arial" w:hAnsi="Arial"/>
          <w:b w:val="0"/>
          <w:bCs w:val="0"/>
          <w:color w:val="000000" w:themeColor="text1"/>
        </w:rPr>
        <w:t xml:space="preserve"> </w:t>
      </w:r>
    </w:p>
    <w:p w:rsidR="00A57300" w:rsidP="00EA6E0A">
      <w:pPr>
        <w:pStyle w:val="treb"/>
        <w:numPr>
          <w:ilvl w:val="0"/>
          <w:numId w:val="0"/>
        </w:numPr>
        <w:spacing w:after="0"/>
        <w:rPr>
          <w:rFonts w:ascii="Arial" w:hAnsi="Arial"/>
          <w:b w:val="0"/>
          <w:bCs w:val="0"/>
          <w:color w:val="000000" w:themeColor="text1"/>
        </w:rPr>
      </w:pPr>
    </w:p>
    <w:p w:rsidR="00F10F78"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 xml:space="preserve">Green activities are those directly contributing to real world decarbonisation, principally through renewable energy generation, but include other activities supporting lower emissions including district heating, and waste management. Brown activities are those directly involved with extracting, transporting, storing, and otherwise supplying fossil fuels, or using them to generate energy. </w:t>
      </w:r>
    </w:p>
    <w:p w:rsidR="00F10F78" w:rsidP="00EA6E0A">
      <w:pPr>
        <w:pStyle w:val="treb"/>
        <w:numPr>
          <w:ilvl w:val="0"/>
          <w:numId w:val="0"/>
        </w:numPr>
        <w:spacing w:after="0"/>
        <w:rPr>
          <w:rFonts w:ascii="Arial" w:hAnsi="Arial"/>
          <w:b w:val="0"/>
          <w:bCs w:val="0"/>
          <w:color w:val="000000" w:themeColor="text1"/>
        </w:rPr>
      </w:pPr>
    </w:p>
    <w:p w:rsidR="00AF2CD0"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For the first time, the dashboard presents information on the trend in green and brown exposures (commencing in Q4 2019). Quarterly c</w:t>
      </w:r>
      <w:r w:rsidRPr="00423292">
        <w:rPr>
          <w:rFonts w:ascii="Arial" w:hAnsi="Arial"/>
          <w:b w:val="0"/>
          <w:bCs w:val="0"/>
          <w:color w:val="000000" w:themeColor="text1"/>
        </w:rPr>
        <w:t xml:space="preserve">hanges in Green and Brown exposure </w:t>
      </w:r>
      <w:r>
        <w:rPr>
          <w:rFonts w:ascii="Arial" w:hAnsi="Arial"/>
          <w:b w:val="0"/>
          <w:bCs w:val="0"/>
          <w:color w:val="000000" w:themeColor="text1"/>
        </w:rPr>
        <w:t>reflect multiple</w:t>
      </w:r>
      <w:r w:rsidRPr="00423292">
        <w:rPr>
          <w:rFonts w:ascii="Arial" w:hAnsi="Arial"/>
          <w:b w:val="0"/>
          <w:bCs w:val="0"/>
          <w:color w:val="000000" w:themeColor="text1"/>
        </w:rPr>
        <w:t xml:space="preserve"> </w:t>
      </w:r>
      <w:r>
        <w:rPr>
          <w:rFonts w:ascii="Arial" w:hAnsi="Arial"/>
          <w:b w:val="0"/>
          <w:bCs w:val="0"/>
          <w:color w:val="000000" w:themeColor="text1"/>
        </w:rPr>
        <w:t>factors at play including funds reaching maturity, assets being revalued, and investments being made and sold. The total value of the LCPF portfolio (as the denominator) also affects brown and green % shares</w:t>
      </w:r>
      <w:r w:rsidRPr="005012E3">
        <w:rPr>
          <w:rFonts w:ascii="Arial" w:hAnsi="Arial"/>
          <w:b w:val="0"/>
          <w:bCs w:val="0"/>
          <w:color w:val="000000" w:themeColor="text1"/>
        </w:rPr>
        <w:t xml:space="preserve"> </w:t>
      </w:r>
      <w:r>
        <w:rPr>
          <w:rFonts w:ascii="Arial" w:hAnsi="Arial"/>
          <w:b w:val="0"/>
          <w:bCs w:val="0"/>
          <w:color w:val="000000" w:themeColor="text1"/>
        </w:rPr>
        <w:t>quarterly</w:t>
      </w:r>
      <w:r w:rsidRPr="00423292">
        <w:rPr>
          <w:rFonts w:ascii="Arial" w:hAnsi="Arial"/>
          <w:b w:val="0"/>
          <w:bCs w:val="0"/>
          <w:color w:val="000000" w:themeColor="text1"/>
        </w:rPr>
        <w:t>.</w:t>
      </w:r>
      <w:r>
        <w:rPr>
          <w:rFonts w:ascii="Arial" w:hAnsi="Arial"/>
          <w:b w:val="0"/>
          <w:bCs w:val="0"/>
          <w:color w:val="000000" w:themeColor="text1"/>
        </w:rPr>
        <w:t xml:space="preserve"> </w:t>
      </w:r>
    </w:p>
    <w:p w:rsidR="00AF2CD0" w:rsidP="00EA6E0A">
      <w:pPr>
        <w:pStyle w:val="treb"/>
        <w:numPr>
          <w:ilvl w:val="0"/>
          <w:numId w:val="0"/>
        </w:numPr>
        <w:spacing w:after="0"/>
        <w:rPr>
          <w:rFonts w:ascii="Arial" w:hAnsi="Arial"/>
          <w:b w:val="0"/>
          <w:bCs w:val="0"/>
          <w:color w:val="000000" w:themeColor="text1"/>
        </w:rPr>
      </w:pPr>
    </w:p>
    <w:p w:rsidR="004F3576" w:rsidP="00EA6E0A">
      <w:pPr>
        <w:pStyle w:val="treb"/>
        <w:numPr>
          <w:ilvl w:val="0"/>
          <w:numId w:val="0"/>
        </w:numPr>
        <w:spacing w:after="0"/>
        <w:rPr>
          <w:rFonts w:ascii="Arial" w:hAnsi="Arial"/>
          <w:b w:val="0"/>
          <w:bCs w:val="0"/>
          <w:color w:val="000000" w:themeColor="text1"/>
        </w:rPr>
      </w:pPr>
      <w:r>
        <w:rPr>
          <w:rFonts w:ascii="Arial" w:hAnsi="Arial"/>
          <w:b w:val="0"/>
          <w:bCs w:val="0"/>
          <w:color w:val="000000" w:themeColor="text1"/>
        </w:rPr>
        <w:t>C</w:t>
      </w:r>
      <w:r w:rsidRPr="00423292">
        <w:rPr>
          <w:rFonts w:ascii="Arial" w:hAnsi="Arial"/>
          <w:b w:val="0"/>
          <w:bCs w:val="0"/>
          <w:color w:val="000000" w:themeColor="text1"/>
        </w:rPr>
        <w:t>ompared with Q4 2020</w:t>
      </w:r>
      <w:r>
        <w:rPr>
          <w:rFonts w:ascii="Arial" w:hAnsi="Arial"/>
          <w:b w:val="0"/>
          <w:bCs w:val="0"/>
          <w:color w:val="000000" w:themeColor="text1"/>
        </w:rPr>
        <w:t>, both brown and green exposures have changed.</w:t>
      </w:r>
    </w:p>
    <w:p w:rsidR="000B3D82" w:rsidP="00695FB3">
      <w:pPr>
        <w:pStyle w:val="treb"/>
        <w:numPr>
          <w:ilvl w:val="0"/>
          <w:numId w:val="0"/>
        </w:numPr>
        <w:spacing w:after="0"/>
        <w:rPr>
          <w:rFonts w:ascii="Arial" w:hAnsi="Arial"/>
          <w:b w:val="0"/>
          <w:bCs w:val="0"/>
          <w:color w:val="000000" w:themeColor="text1"/>
        </w:rPr>
      </w:pPr>
    </w:p>
    <w:p w:rsidR="000C04A4" w:rsidP="00695FB3">
      <w:pPr>
        <w:pStyle w:val="treb"/>
        <w:numPr>
          <w:ilvl w:val="0"/>
          <w:numId w:val="0"/>
        </w:numPr>
        <w:spacing w:after="0"/>
        <w:rPr>
          <w:rFonts w:ascii="Arial" w:hAnsi="Arial"/>
          <w:b w:val="0"/>
          <w:bCs w:val="0"/>
          <w:color w:val="000000" w:themeColor="text1"/>
        </w:rPr>
      </w:pPr>
      <w:r w:rsidRPr="00AF2CD0">
        <w:rPr>
          <w:rFonts w:ascii="Arial" w:hAnsi="Arial"/>
          <w:b w:val="0"/>
          <w:bCs w:val="0"/>
          <w:color w:val="000000" w:themeColor="text1"/>
        </w:rPr>
        <w:t xml:space="preserve">Brown activities are 2.85% of the portfolio (Q4 2.99%). </w:t>
      </w:r>
      <w:r>
        <w:rPr>
          <w:rFonts w:ascii="Arial" w:hAnsi="Arial"/>
          <w:b w:val="0"/>
          <w:bCs w:val="0"/>
          <w:color w:val="000000" w:themeColor="text1"/>
        </w:rPr>
        <w:t xml:space="preserve">Noting a downward valuation for one infrastructure fund, the main cause of the reduction is a shift in LCPF’s proportionate ownership of the total LPPI Infrastructure pool relative to other investors. This reflects the effects of the phasing and timing of drawdowns and allocations within investment tranches.  A smaller relative share of the total infrastructure pool (compared with Q4) translates to a lesser share of brown (and green) assets held by the pool. </w:t>
      </w:r>
    </w:p>
    <w:p w:rsidR="00695FB3" w:rsidRPr="0095007C" w:rsidP="00EA6E0A">
      <w:pPr>
        <w:pStyle w:val="treb"/>
        <w:numPr>
          <w:ilvl w:val="0"/>
          <w:numId w:val="0"/>
        </w:numPr>
        <w:spacing w:after="0"/>
        <w:rPr>
          <w:rFonts w:ascii="Arial" w:hAnsi="Arial"/>
          <w:b w:val="0"/>
          <w:bCs w:val="0"/>
          <w:color w:val="000000" w:themeColor="text1"/>
          <w:highlight w:val="yellow"/>
        </w:rPr>
      </w:pPr>
    </w:p>
    <w:p w:rsidR="00AD0E9E" w:rsidP="00EA6E0A">
      <w:pPr>
        <w:pStyle w:val="treb"/>
        <w:numPr>
          <w:ilvl w:val="0"/>
          <w:numId w:val="0"/>
        </w:numPr>
        <w:spacing w:after="0"/>
        <w:rPr>
          <w:rFonts w:ascii="Arial" w:hAnsi="Arial"/>
          <w:b w:val="0"/>
          <w:bCs w:val="0"/>
          <w:color w:val="000000" w:themeColor="text1"/>
        </w:rPr>
      </w:pPr>
      <w:r w:rsidRPr="00FA4694">
        <w:rPr>
          <w:rFonts w:ascii="Arial" w:hAnsi="Arial"/>
          <w:b w:val="0"/>
          <w:bCs w:val="0"/>
          <w:color w:val="000000" w:themeColor="text1"/>
        </w:rPr>
        <w:t xml:space="preserve">Green activities are 3.4% of the portfolio </w:t>
      </w:r>
      <w:r>
        <w:rPr>
          <w:rFonts w:ascii="Arial" w:hAnsi="Arial"/>
          <w:b w:val="0"/>
          <w:bCs w:val="0"/>
          <w:color w:val="000000" w:themeColor="text1"/>
        </w:rPr>
        <w:t xml:space="preserve">at Q1 </w:t>
      </w:r>
      <w:r w:rsidRPr="00FA4694">
        <w:rPr>
          <w:rFonts w:ascii="Arial" w:hAnsi="Arial"/>
          <w:b w:val="0"/>
          <w:bCs w:val="0"/>
          <w:color w:val="000000" w:themeColor="text1"/>
        </w:rPr>
        <w:t xml:space="preserve">(Q4 3.84%). The </w:t>
      </w:r>
      <w:r>
        <w:rPr>
          <w:rFonts w:ascii="Arial" w:hAnsi="Arial"/>
          <w:b w:val="0"/>
          <w:bCs w:val="0"/>
          <w:color w:val="000000" w:themeColor="text1"/>
        </w:rPr>
        <w:t xml:space="preserve">reduction </w:t>
      </w:r>
      <w:r w:rsidRPr="00FA4694">
        <w:rPr>
          <w:rFonts w:ascii="Arial" w:hAnsi="Arial"/>
          <w:b w:val="0"/>
          <w:bCs w:val="0"/>
          <w:color w:val="000000" w:themeColor="text1"/>
        </w:rPr>
        <w:t>reflect</w:t>
      </w:r>
      <w:r>
        <w:rPr>
          <w:rFonts w:ascii="Arial" w:hAnsi="Arial"/>
          <w:b w:val="0"/>
          <w:bCs w:val="0"/>
          <w:color w:val="000000" w:themeColor="text1"/>
        </w:rPr>
        <w:t xml:space="preserve">s the </w:t>
      </w:r>
      <w:r w:rsidRPr="00FA4694">
        <w:rPr>
          <w:rFonts w:ascii="Arial" w:hAnsi="Arial"/>
          <w:b w:val="0"/>
          <w:bCs w:val="0"/>
          <w:color w:val="000000" w:themeColor="text1"/>
        </w:rPr>
        <w:t xml:space="preserve">decreased ownership </w:t>
      </w:r>
      <w:r>
        <w:rPr>
          <w:rFonts w:ascii="Arial" w:hAnsi="Arial"/>
          <w:b w:val="0"/>
          <w:bCs w:val="0"/>
          <w:color w:val="000000" w:themeColor="text1"/>
        </w:rPr>
        <w:t xml:space="preserve">share </w:t>
      </w:r>
      <w:r w:rsidRPr="00FA4694">
        <w:rPr>
          <w:rFonts w:ascii="Arial" w:hAnsi="Arial"/>
          <w:b w:val="0"/>
          <w:bCs w:val="0"/>
          <w:color w:val="000000" w:themeColor="text1"/>
        </w:rPr>
        <w:t>of the LPPI infrastructure pool (</w:t>
      </w:r>
      <w:r>
        <w:rPr>
          <w:rFonts w:ascii="Arial" w:hAnsi="Arial"/>
          <w:b w:val="0"/>
          <w:bCs w:val="0"/>
          <w:color w:val="000000" w:themeColor="text1"/>
        </w:rPr>
        <w:t xml:space="preserve">as </w:t>
      </w:r>
      <w:r w:rsidRPr="00FA4694">
        <w:rPr>
          <w:rFonts w:ascii="Arial" w:hAnsi="Arial"/>
          <w:b w:val="0"/>
          <w:bCs w:val="0"/>
          <w:color w:val="000000" w:themeColor="text1"/>
        </w:rPr>
        <w:t xml:space="preserve">described above) </w:t>
      </w:r>
      <w:r>
        <w:rPr>
          <w:rFonts w:ascii="Arial" w:hAnsi="Arial"/>
          <w:b w:val="0"/>
          <w:bCs w:val="0"/>
          <w:color w:val="000000" w:themeColor="text1"/>
        </w:rPr>
        <w:t xml:space="preserve">but is more heavily reflective of the sale of a legacy </w:t>
      </w:r>
      <w:r w:rsidRPr="00FA4694">
        <w:rPr>
          <w:rFonts w:ascii="Arial" w:hAnsi="Arial"/>
          <w:b w:val="0"/>
          <w:bCs w:val="0"/>
          <w:color w:val="000000" w:themeColor="text1"/>
        </w:rPr>
        <w:t xml:space="preserve">bio-gas asset </w:t>
      </w:r>
      <w:r>
        <w:rPr>
          <w:rFonts w:ascii="Arial" w:hAnsi="Arial"/>
          <w:b w:val="0"/>
          <w:bCs w:val="0"/>
          <w:color w:val="000000" w:themeColor="text1"/>
        </w:rPr>
        <w:t>on LCPF’s behalf which was not part of the LPPI infrastructure Pool.</w:t>
      </w:r>
    </w:p>
    <w:p w:rsidR="00D637C7" w:rsidP="00EA6E0A">
      <w:pPr>
        <w:pStyle w:val="treb"/>
        <w:numPr>
          <w:ilvl w:val="0"/>
          <w:numId w:val="0"/>
        </w:numPr>
        <w:spacing w:after="0"/>
        <w:rPr>
          <w:rFonts w:ascii="Arial" w:hAnsi="Arial"/>
          <w:b w:val="0"/>
          <w:bCs w:val="0"/>
          <w:color w:val="000000" w:themeColor="text1"/>
        </w:rPr>
      </w:pPr>
    </w:p>
    <w:p w:rsidR="00444E24" w:rsidP="00444E24">
      <w:pPr>
        <w:pStyle w:val="treb"/>
        <w:numPr>
          <w:ilvl w:val="0"/>
          <w:numId w:val="0"/>
        </w:numPr>
        <w:spacing w:after="0"/>
        <w:rPr>
          <w:rFonts w:ascii="Arial" w:hAnsi="Arial"/>
          <w:b w:val="0"/>
          <w:bCs w:val="0"/>
          <w:color w:val="000000" w:themeColor="text1"/>
        </w:rPr>
      </w:pPr>
      <w:r w:rsidRPr="00301F26">
        <w:rPr>
          <w:rFonts w:ascii="Arial" w:hAnsi="Arial"/>
          <w:b w:val="0"/>
          <w:bCs w:val="0"/>
          <w:color w:val="000000" w:themeColor="text1"/>
        </w:rPr>
        <w:t xml:space="preserve">Investments in renewable energy generation from wind, solar, hydro, and waste make up 81% of total green exposure. </w:t>
      </w:r>
      <w:r>
        <w:rPr>
          <w:rFonts w:ascii="Arial" w:hAnsi="Arial"/>
          <w:b w:val="0"/>
          <w:bCs w:val="0"/>
          <w:color w:val="000000" w:themeColor="text1"/>
        </w:rPr>
        <w:t>LCPF’s g</w:t>
      </w:r>
      <w:r w:rsidRPr="00301F26">
        <w:rPr>
          <w:rFonts w:ascii="Arial" w:hAnsi="Arial"/>
          <w:b w:val="0"/>
          <w:bCs w:val="0"/>
          <w:color w:val="000000" w:themeColor="text1"/>
        </w:rPr>
        <w:t>reen exposure is 98% via infrastructure investments.</w:t>
      </w:r>
    </w:p>
    <w:p w:rsidR="00301F26" w:rsidP="00444E24">
      <w:pPr>
        <w:pStyle w:val="treb"/>
        <w:numPr>
          <w:ilvl w:val="0"/>
          <w:numId w:val="0"/>
        </w:numPr>
        <w:spacing w:after="0"/>
        <w:rPr>
          <w:rFonts w:ascii="Arial" w:hAnsi="Arial"/>
          <w:color w:val="54BBAB"/>
        </w:rPr>
      </w:pPr>
    </w:p>
    <w:p w:rsidR="00846783" w:rsidRPr="00A7642D" w:rsidP="00444E24">
      <w:pPr>
        <w:pStyle w:val="treb"/>
        <w:numPr>
          <w:ilvl w:val="0"/>
          <w:numId w:val="0"/>
        </w:numPr>
        <w:spacing w:after="0"/>
        <w:rPr>
          <w:rFonts w:ascii="Arial" w:hAnsi="Arial"/>
          <w:color w:val="54BBAB"/>
        </w:rPr>
      </w:pPr>
      <w:r w:rsidRPr="00A7642D">
        <w:rPr>
          <w:rFonts w:ascii="Arial" w:hAnsi="Arial"/>
          <w:color w:val="54BBAB"/>
        </w:rPr>
        <w:t>Core Stewardship</w:t>
      </w:r>
    </w:p>
    <w:p w:rsidR="00846783" w:rsidRPr="00A7642D" w:rsidP="00846783">
      <w:pPr>
        <w:autoSpaceDE w:val="0"/>
        <w:autoSpaceDN w:val="0"/>
        <w:adjustRightInd w:val="0"/>
        <w:spacing w:after="0"/>
        <w:jc w:val="both"/>
        <w:rPr>
          <w:rFonts w:ascii="Arial" w:hAnsi="Arial" w:cs="Arial"/>
          <w:color w:val="54BBAB"/>
        </w:rPr>
      </w:pPr>
    </w:p>
    <w:p w:rsidR="00283964" w:rsidP="00445F60">
      <w:pPr>
        <w:tabs>
          <w:tab w:val="left" w:pos="5295"/>
        </w:tabs>
        <w:autoSpaceDE w:val="0"/>
        <w:autoSpaceDN w:val="0"/>
        <w:adjustRightInd w:val="0"/>
        <w:spacing w:after="0"/>
        <w:jc w:val="both"/>
        <w:rPr>
          <w:rFonts w:ascii="Arial" w:hAnsi="Arial"/>
        </w:rPr>
      </w:pPr>
      <w:r>
        <w:rPr>
          <w:rFonts w:ascii="Arial" w:hAnsi="Arial"/>
        </w:rPr>
        <w:t>This section of the report gives an overview of stewardship activities in the last quarter.</w:t>
      </w:r>
    </w:p>
    <w:p w:rsidR="00846783" w:rsidRPr="00A7642D" w:rsidP="00445F60">
      <w:pPr>
        <w:tabs>
          <w:tab w:val="left" w:pos="5295"/>
        </w:tabs>
        <w:autoSpaceDE w:val="0"/>
        <w:autoSpaceDN w:val="0"/>
        <w:adjustRightInd w:val="0"/>
        <w:spacing w:after="0"/>
        <w:jc w:val="both"/>
        <w:rPr>
          <w:rFonts w:ascii="Arial" w:hAnsi="Arial" w:cs="Arial"/>
        </w:rPr>
      </w:pPr>
      <w:r w:rsidRPr="00A7642D">
        <w:rPr>
          <w:rFonts w:ascii="Arial" w:hAnsi="Arial"/>
        </w:rPr>
        <w:t xml:space="preserve">Client pension funds delegate day to day implementation of the Partnership’s approach to RI to Local Pensions Partnership Investments Ltd (LPPI).  Ongoing stewardship activities by LPPI include portfolio and manager monitoring and the exercise of ownership responsibilities via shareholder voting, and engagement.  </w:t>
      </w:r>
    </w:p>
    <w:p w:rsidR="0054616E" w:rsidRPr="00A7642D" w:rsidP="00846783">
      <w:pPr>
        <w:pStyle w:val="treb"/>
        <w:numPr>
          <w:ilvl w:val="0"/>
          <w:numId w:val="0"/>
        </w:numPr>
        <w:spacing w:after="0"/>
        <w:rPr>
          <w:rFonts w:ascii="Arial" w:hAnsi="Arial"/>
          <w:b w:val="0"/>
        </w:rPr>
      </w:pPr>
    </w:p>
    <w:p w:rsidR="006A3BEC" w:rsidRPr="00A7642D" w:rsidP="00846783">
      <w:pPr>
        <w:pStyle w:val="treb"/>
        <w:numPr>
          <w:ilvl w:val="0"/>
          <w:numId w:val="0"/>
        </w:numPr>
        <w:spacing w:after="0"/>
        <w:rPr>
          <w:rFonts w:ascii="Arial" w:hAnsi="Arial"/>
          <w:b w:val="0"/>
          <w:u w:val="single"/>
        </w:rPr>
      </w:pPr>
      <w:r w:rsidRPr="00A7642D">
        <w:rPr>
          <w:rFonts w:ascii="Arial" w:hAnsi="Arial"/>
          <w:b w:val="0"/>
          <w:u w:val="single"/>
        </w:rPr>
        <w:t>Shareholder Voting - LPPI Global Equity Fund (GEF)</w:t>
      </w:r>
      <w:r>
        <w:rPr>
          <w:rFonts w:ascii="Arial" w:hAnsi="Arial"/>
          <w:b w:val="0"/>
          <w:u w:val="single"/>
        </w:rPr>
        <w:t xml:space="preserve"> </w:t>
      </w:r>
      <w:r w:rsidRPr="00DE3230">
        <w:rPr>
          <w:rFonts w:ascii="Arial" w:hAnsi="Arial"/>
          <w:b w:val="0"/>
          <w:i/>
          <w:iCs/>
          <w:u w:val="single"/>
        </w:rPr>
        <w:t>(Dashboard page</w:t>
      </w:r>
      <w:r>
        <w:rPr>
          <w:rFonts w:ascii="Arial" w:hAnsi="Arial"/>
          <w:b w:val="0"/>
          <w:i/>
          <w:iCs/>
          <w:u w:val="single"/>
        </w:rPr>
        <w:t xml:space="preserve"> 3)</w:t>
      </w:r>
    </w:p>
    <w:p w:rsidR="006A3BEC" w:rsidRPr="00A7642D" w:rsidP="006A3BEC">
      <w:pPr>
        <w:autoSpaceDE w:val="0"/>
        <w:autoSpaceDN w:val="0"/>
        <w:adjustRightInd w:val="0"/>
        <w:spacing w:after="0"/>
        <w:rPr>
          <w:rFonts w:ascii="Arial" w:hAnsi="Arial" w:cs="Arial"/>
          <w:bCs/>
        </w:rPr>
      </w:pPr>
    </w:p>
    <w:p w:rsidR="009A795C" w:rsidRPr="00A7642D" w:rsidP="006A3BEC">
      <w:pPr>
        <w:autoSpaceDE w:val="0"/>
        <w:autoSpaceDN w:val="0"/>
        <w:adjustRightInd w:val="0"/>
        <w:spacing w:after="0"/>
        <w:rPr>
          <w:rFonts w:ascii="Arial" w:hAnsi="Arial" w:cs="Arial"/>
          <w:bCs/>
        </w:rPr>
      </w:pPr>
      <w:r w:rsidRPr="00A7642D">
        <w:rPr>
          <w:rFonts w:ascii="Arial" w:hAnsi="Arial" w:cs="Arial"/>
          <w:bCs/>
        </w:rPr>
        <w:t xml:space="preserve">Shareholder voting is overseen centrally by LPPI rather than by individual asset managers. LPPI receives analysis and recommendations from an external provider of proxy voting and governance research. We follow Sustainability Voting Guidelines focussed on material ESG considerations and liaise with providers and asset managers as needed to reach final voting decisions. </w:t>
      </w:r>
    </w:p>
    <w:p w:rsidR="009A795C" w:rsidRPr="00A7642D" w:rsidP="006A3BEC">
      <w:pPr>
        <w:autoSpaceDE w:val="0"/>
        <w:autoSpaceDN w:val="0"/>
        <w:adjustRightInd w:val="0"/>
        <w:spacing w:after="0"/>
        <w:rPr>
          <w:rFonts w:ascii="Arial" w:hAnsi="Arial" w:cs="Arial"/>
          <w:bCs/>
        </w:rPr>
      </w:pPr>
    </w:p>
    <w:p w:rsidR="006A3BEC" w:rsidRPr="00A7642D" w:rsidP="006A3BEC">
      <w:pPr>
        <w:autoSpaceDE w:val="0"/>
        <w:autoSpaceDN w:val="0"/>
        <w:adjustRightInd w:val="0"/>
        <w:spacing w:after="0"/>
        <w:rPr>
          <w:rFonts w:ascii="Arial" w:hAnsi="Arial" w:cs="Arial"/>
          <w:bCs/>
        </w:rPr>
      </w:pPr>
      <w:r w:rsidRPr="00A7642D">
        <w:rPr>
          <w:rFonts w:ascii="Arial" w:hAnsi="Arial" w:cs="Arial"/>
          <w:bCs/>
        </w:rPr>
        <w:t xml:space="preserve">Full details of all shareholder voting by LPPI is publicly available from the LPP website within quarterly </w:t>
      </w:r>
      <w:r>
        <w:fldChar w:fldCharType="begin"/>
      </w:r>
      <w:r>
        <w:instrText xml:space="preserve"> HYPERLINK "https://www.localpensionspartnership.org.uk/Who-we-are/Our-Investment-Stewardship/Shareholder-voting" </w:instrText>
      </w:r>
      <w:r>
        <w:fldChar w:fldCharType="separate"/>
      </w:r>
      <w:r w:rsidRPr="00A7642D">
        <w:rPr>
          <w:rStyle w:val="Hyperlink"/>
          <w:rFonts w:ascii="Arial" w:hAnsi="Arial" w:cs="Arial"/>
          <w:bCs/>
        </w:rPr>
        <w:t>shareholder voting reports</w:t>
      </w:r>
      <w:r>
        <w:fldChar w:fldCharType="end"/>
      </w:r>
      <w:r w:rsidRPr="00A7642D">
        <w:rPr>
          <w:rFonts w:ascii="Arial" w:hAnsi="Arial" w:cs="Arial"/>
          <w:bCs/>
        </w:rPr>
        <w:t xml:space="preserve">. </w:t>
      </w:r>
    </w:p>
    <w:p w:rsidR="006A3BEC" w:rsidRPr="00A7642D" w:rsidP="00846783">
      <w:pPr>
        <w:pStyle w:val="treb"/>
        <w:numPr>
          <w:ilvl w:val="0"/>
          <w:numId w:val="0"/>
        </w:numPr>
        <w:spacing w:after="0"/>
        <w:rPr>
          <w:rFonts w:ascii="Arial" w:hAnsi="Arial"/>
          <w:b w:val="0"/>
        </w:rPr>
      </w:pPr>
    </w:p>
    <w:p w:rsidR="00EE205C" w:rsidRPr="00A7642D" w:rsidP="000779AC">
      <w:pPr>
        <w:spacing w:after="0" w:line="240" w:lineRule="auto"/>
        <w:rPr>
          <w:rFonts w:ascii="Arial" w:hAnsi="Arial" w:cs="Arial"/>
          <w:iCs/>
          <w:color w:val="000000"/>
        </w:rPr>
      </w:pPr>
      <w:r>
        <w:rPr>
          <w:rFonts w:ascii="Arial" w:hAnsi="Arial" w:cs="Arial"/>
          <w:iCs/>
          <w:color w:val="000000"/>
        </w:rPr>
        <w:t>The period January to March 2021 encompassed 62 meetings and 603 proposals voted. LPPI voted at all meetings where GEF shares entitled participation.</w:t>
      </w:r>
    </w:p>
    <w:p w:rsidR="00CB4ADD" w:rsidRPr="00A7642D" w:rsidP="000779AC">
      <w:pPr>
        <w:spacing w:after="0" w:line="240" w:lineRule="auto"/>
        <w:rPr>
          <w:rFonts w:ascii="Arial" w:hAnsi="Arial" w:cs="Arial"/>
          <w:iCs/>
          <w:color w:val="000000"/>
        </w:rPr>
      </w:pPr>
    </w:p>
    <w:p w:rsidR="00CB4ADD" w:rsidRPr="00A7642D" w:rsidP="00BA2CBD">
      <w:pPr>
        <w:pStyle w:val="ListParagraph"/>
        <w:numPr>
          <w:ilvl w:val="0"/>
          <w:numId w:val="4"/>
        </w:numPr>
        <w:spacing w:after="0" w:line="240" w:lineRule="auto"/>
        <w:ind w:left="426" w:hanging="426"/>
        <w:rPr>
          <w:rFonts w:ascii="Arial" w:hAnsi="Arial" w:cs="Arial"/>
          <w:iCs/>
          <w:color w:val="000000"/>
        </w:rPr>
      </w:pPr>
      <w:r w:rsidRPr="00A7642D">
        <w:rPr>
          <w:rFonts w:ascii="Arial" w:hAnsi="Arial" w:cs="Arial"/>
          <w:iCs/>
          <w:color w:val="000000"/>
        </w:rPr>
        <w:t>Company Proposals</w:t>
      </w:r>
    </w:p>
    <w:p w:rsidR="00CB4ADD" w:rsidRPr="00A7642D" w:rsidP="000779AC">
      <w:pPr>
        <w:spacing w:after="0" w:line="240" w:lineRule="auto"/>
        <w:rPr>
          <w:rFonts w:ascii="Arial" w:hAnsi="Arial" w:cs="Arial"/>
          <w:iCs/>
          <w:color w:val="000000"/>
        </w:rPr>
      </w:pPr>
    </w:p>
    <w:p w:rsidR="00D975E1" w:rsidRPr="00A7642D" w:rsidP="000779AC">
      <w:pPr>
        <w:spacing w:after="0" w:line="240" w:lineRule="auto"/>
        <w:rPr>
          <w:rFonts w:ascii="Arial" w:hAnsi="Arial" w:cs="Arial"/>
          <w:iCs/>
          <w:color w:val="000000"/>
        </w:rPr>
      </w:pPr>
      <w:r w:rsidRPr="00A7642D">
        <w:rPr>
          <w:rFonts w:ascii="Arial" w:hAnsi="Arial" w:cs="Arial"/>
          <w:iCs/>
          <w:color w:val="000000"/>
        </w:rPr>
        <w:t xml:space="preserve">LPPI </w:t>
      </w:r>
      <w:r w:rsidRPr="008F2B92">
        <w:rPr>
          <w:rFonts w:ascii="Arial" w:hAnsi="Arial" w:cs="Arial"/>
          <w:iCs/>
          <w:color w:val="000000"/>
        </w:rPr>
        <w:t>supported 9</w:t>
      </w:r>
      <w:r>
        <w:rPr>
          <w:rFonts w:ascii="Arial" w:hAnsi="Arial" w:cs="Arial"/>
          <w:iCs/>
          <w:color w:val="000000"/>
        </w:rPr>
        <w:t>5</w:t>
      </w:r>
      <w:r w:rsidRPr="008F2B92">
        <w:rPr>
          <w:rFonts w:ascii="Arial" w:hAnsi="Arial" w:cs="Arial"/>
          <w:iCs/>
          <w:color w:val="000000"/>
        </w:rPr>
        <w:t>% of</w:t>
      </w:r>
      <w:r w:rsidRPr="0025774B">
        <w:rPr>
          <w:rFonts w:ascii="Arial" w:hAnsi="Arial" w:cs="Arial"/>
          <w:iCs/>
          <w:color w:val="000000"/>
        </w:rPr>
        <w:t xml:space="preserve"> company propo</w:t>
      </w:r>
      <w:r w:rsidRPr="00A7642D">
        <w:rPr>
          <w:rFonts w:ascii="Arial" w:hAnsi="Arial" w:cs="Arial"/>
          <w:iCs/>
          <w:color w:val="000000"/>
        </w:rPr>
        <w:t xml:space="preserve">sals in the period. </w:t>
      </w:r>
    </w:p>
    <w:p w:rsidR="0077739B" w:rsidRPr="00A7642D" w:rsidP="000779AC">
      <w:pPr>
        <w:spacing w:after="0" w:line="240" w:lineRule="auto"/>
        <w:rPr>
          <w:rFonts w:ascii="Arial" w:hAnsi="Arial" w:cs="Arial"/>
          <w:iCs/>
          <w:color w:val="000000"/>
        </w:rPr>
      </w:pPr>
      <w:r w:rsidRPr="00A7642D">
        <w:rPr>
          <w:rFonts w:ascii="Arial" w:hAnsi="Arial" w:cs="Arial"/>
          <w:iCs/>
          <w:color w:val="000000"/>
        </w:rPr>
        <w:t xml:space="preserve">Opposition voting concentrated on </w:t>
      </w:r>
    </w:p>
    <w:p w:rsidR="0077739B" w:rsidRPr="0025774B" w:rsidP="00BA2CBD">
      <w:pPr>
        <w:pStyle w:val="ListParagraph"/>
        <w:numPr>
          <w:ilvl w:val="0"/>
          <w:numId w:val="3"/>
        </w:numPr>
        <w:spacing w:after="0" w:line="240" w:lineRule="auto"/>
        <w:ind w:left="709" w:hanging="709"/>
        <w:rPr>
          <w:rFonts w:ascii="Arial" w:hAnsi="Arial" w:cs="Arial"/>
          <w:iCs/>
          <w:color w:val="000000"/>
        </w:rPr>
      </w:pPr>
      <w:r w:rsidRPr="0025774B">
        <w:rPr>
          <w:rFonts w:ascii="Arial" w:hAnsi="Arial" w:cs="Arial"/>
          <w:iCs/>
          <w:color w:val="000000"/>
        </w:rPr>
        <w:t>the election of directors (addressing individual director issues</w:t>
      </w:r>
      <w:r>
        <w:rPr>
          <w:rFonts w:ascii="Arial" w:hAnsi="Arial" w:cs="Arial"/>
          <w:iCs/>
          <w:color w:val="000000"/>
        </w:rPr>
        <w:t>,</w:t>
      </w:r>
      <w:r w:rsidRPr="0025774B">
        <w:rPr>
          <w:rFonts w:ascii="Arial" w:hAnsi="Arial" w:cs="Arial"/>
          <w:iCs/>
          <w:color w:val="000000"/>
        </w:rPr>
        <w:t xml:space="preserve"> overall board independence,</w:t>
      </w:r>
      <w:r>
        <w:rPr>
          <w:rFonts w:ascii="Arial" w:hAnsi="Arial" w:cs="Arial"/>
          <w:iCs/>
          <w:color w:val="000000"/>
        </w:rPr>
        <w:t xml:space="preserve"> and over-boarding</w:t>
      </w:r>
      <w:r w:rsidRPr="0025774B">
        <w:rPr>
          <w:rFonts w:ascii="Arial" w:hAnsi="Arial" w:cs="Arial"/>
          <w:iCs/>
          <w:color w:val="000000"/>
        </w:rPr>
        <w:t>)</w:t>
      </w:r>
    </w:p>
    <w:p w:rsidR="009A795C" w:rsidRPr="0025774B" w:rsidP="00BA2CBD">
      <w:pPr>
        <w:pStyle w:val="ListParagraph"/>
        <w:numPr>
          <w:ilvl w:val="0"/>
          <w:numId w:val="3"/>
        </w:numPr>
        <w:spacing w:after="0" w:line="240" w:lineRule="auto"/>
        <w:ind w:left="709" w:hanging="709"/>
        <w:rPr>
          <w:rFonts w:ascii="Arial" w:hAnsi="Arial" w:cs="Arial"/>
          <w:iCs/>
          <w:color w:val="000000"/>
        </w:rPr>
      </w:pPr>
      <w:r w:rsidRPr="0025774B">
        <w:rPr>
          <w:rFonts w:ascii="Arial" w:hAnsi="Arial" w:cs="Arial"/>
          <w:iCs/>
          <w:color w:val="000000"/>
        </w:rPr>
        <w:t xml:space="preserve">non-salary compensation (addressing inadequate disclosure of underlying performance criteria, </w:t>
      </w:r>
      <w:r>
        <w:rPr>
          <w:rFonts w:ascii="Arial" w:hAnsi="Arial" w:cs="Arial"/>
          <w:iCs/>
          <w:color w:val="000000"/>
        </w:rPr>
        <w:t xml:space="preserve">use of discretion, and the </w:t>
      </w:r>
      <w:r w:rsidRPr="0025774B">
        <w:rPr>
          <w:rFonts w:ascii="Arial" w:hAnsi="Arial" w:cs="Arial"/>
          <w:iCs/>
          <w:color w:val="000000"/>
        </w:rPr>
        <w:t>quantum of proposed rewards)</w:t>
      </w:r>
      <w:r>
        <w:rPr>
          <w:rFonts w:ascii="Arial" w:hAnsi="Arial" w:cs="Arial"/>
          <w:iCs/>
          <w:color w:val="000000"/>
        </w:rPr>
        <w:t>.</w:t>
      </w:r>
    </w:p>
    <w:p w:rsidR="002E054D" w:rsidRPr="00A7642D" w:rsidP="009A795C">
      <w:pPr>
        <w:spacing w:after="0" w:line="240" w:lineRule="auto"/>
        <w:rPr>
          <w:rFonts w:ascii="Arial" w:eastAsia="Calibri" w:hAnsi="Arial" w:cs="Arial"/>
          <w:b/>
          <w:bCs/>
          <w:i/>
          <w:color w:val="000000"/>
        </w:rPr>
      </w:pPr>
    </w:p>
    <w:p w:rsidR="009A795C" w:rsidRPr="00E80FFE" w:rsidP="009A795C">
      <w:pPr>
        <w:spacing w:after="0" w:line="240" w:lineRule="auto"/>
        <w:rPr>
          <w:rFonts w:ascii="Arial" w:eastAsia="Calibri" w:hAnsi="Arial" w:cs="Arial"/>
          <w:b/>
          <w:bCs/>
          <w:iCs/>
          <w:color w:val="000000"/>
        </w:rPr>
      </w:pPr>
      <w:r w:rsidRPr="00E80FFE">
        <w:rPr>
          <w:rFonts w:ascii="Arial" w:eastAsia="Calibri" w:hAnsi="Arial" w:cs="Arial"/>
          <w:b/>
          <w:bCs/>
          <w:iCs/>
          <w:color w:val="000000"/>
        </w:rPr>
        <w:t>Insights – Director related</w:t>
      </w:r>
    </w:p>
    <w:p w:rsidR="002D7E48" w:rsidRPr="00F92B43" w:rsidP="009A795C">
      <w:pPr>
        <w:spacing w:after="0" w:line="240" w:lineRule="auto"/>
        <w:rPr>
          <w:rFonts w:ascii="Arial" w:eastAsia="Calibri" w:hAnsi="Arial" w:cs="Arial"/>
          <w:b/>
          <w:bCs/>
          <w:i/>
          <w:color w:val="000000"/>
          <w:highlight w:val="yellow"/>
        </w:rPr>
      </w:pPr>
    </w:p>
    <w:p w:rsidR="002860E2" w:rsidP="008F2B92">
      <w:pPr>
        <w:spacing w:after="0" w:line="240" w:lineRule="auto"/>
        <w:textAlignment w:val="baseline"/>
        <w:rPr>
          <w:rFonts w:ascii="Arial" w:hAnsi="Arial" w:cs="Arial"/>
        </w:rPr>
      </w:pPr>
      <w:r>
        <w:rPr>
          <w:rFonts w:ascii="Arial" w:hAnsi="Arial" w:cs="Arial"/>
        </w:rPr>
        <w:t>Diversity</w:t>
      </w:r>
    </w:p>
    <w:p w:rsidR="002860E2" w:rsidP="008F2B92">
      <w:pPr>
        <w:spacing w:after="0" w:line="240" w:lineRule="auto"/>
        <w:textAlignment w:val="baseline"/>
        <w:rPr>
          <w:rFonts w:ascii="Arial" w:hAnsi="Arial" w:cs="Arial"/>
        </w:rPr>
      </w:pPr>
      <w:r w:rsidRPr="002860E2">
        <w:rPr>
          <w:rFonts w:ascii="Arial" w:hAnsi="Arial" w:cs="Arial"/>
        </w:rPr>
        <w:t xml:space="preserve">At Canon, Inc (Japan: Technology Hardware, Storage &amp; Peripherals) LPPI voted against the re-election of three representative directors. </w:t>
      </w:r>
    </w:p>
    <w:p w:rsidR="002860E2" w:rsidP="008F2B92">
      <w:pPr>
        <w:spacing w:after="0" w:line="240" w:lineRule="auto"/>
        <w:textAlignment w:val="baseline"/>
        <w:rPr>
          <w:rFonts w:ascii="Arial" w:hAnsi="Arial" w:cs="Arial"/>
        </w:rPr>
      </w:pPr>
      <w:r w:rsidRPr="002860E2">
        <w:rPr>
          <w:rFonts w:ascii="Arial" w:hAnsi="Arial" w:cs="Arial"/>
        </w:rPr>
        <w:t xml:space="preserve">At Korea Shipbuilding &amp; Offshore Engineering Co (South Korea: Construction Machinery &amp; Heavy Trucks) LPPI voted against an insider director. </w:t>
      </w:r>
    </w:p>
    <w:p w:rsidR="002860E2" w:rsidP="008F2B92">
      <w:pPr>
        <w:spacing w:after="0" w:line="240" w:lineRule="auto"/>
        <w:textAlignment w:val="baseline"/>
        <w:rPr>
          <w:rFonts w:ascii="Arial" w:hAnsi="Arial" w:cs="Arial"/>
        </w:rPr>
      </w:pPr>
      <w:r w:rsidRPr="002860E2">
        <w:rPr>
          <w:rFonts w:ascii="Arial" w:hAnsi="Arial" w:cs="Arial"/>
        </w:rPr>
        <w:t xml:space="preserve">At both companies </w:t>
      </w:r>
      <w:r>
        <w:rPr>
          <w:rFonts w:ascii="Arial" w:hAnsi="Arial" w:cs="Arial"/>
        </w:rPr>
        <w:t xml:space="preserve">voting reflected </w:t>
      </w:r>
      <w:r w:rsidRPr="002860E2">
        <w:rPr>
          <w:rFonts w:ascii="Arial" w:hAnsi="Arial" w:cs="Arial"/>
        </w:rPr>
        <w:t>the</w:t>
      </w:r>
      <w:r>
        <w:rPr>
          <w:rFonts w:ascii="Arial" w:hAnsi="Arial" w:cs="Arial"/>
        </w:rPr>
        <w:t xml:space="preserve"> absence of</w:t>
      </w:r>
      <w:r w:rsidRPr="002860E2">
        <w:rPr>
          <w:rFonts w:ascii="Arial" w:hAnsi="Arial" w:cs="Arial"/>
        </w:rPr>
        <w:t xml:space="preserve"> </w:t>
      </w:r>
      <w:r>
        <w:rPr>
          <w:rFonts w:ascii="Arial" w:hAnsi="Arial" w:cs="Arial"/>
        </w:rPr>
        <w:t>any</w:t>
      </w:r>
      <w:r w:rsidRPr="002860E2">
        <w:rPr>
          <w:rFonts w:ascii="Arial" w:hAnsi="Arial" w:cs="Arial"/>
        </w:rPr>
        <w:t xml:space="preserve"> </w:t>
      </w:r>
      <w:r>
        <w:rPr>
          <w:rFonts w:ascii="Arial" w:hAnsi="Arial" w:cs="Arial"/>
        </w:rPr>
        <w:t>female</w:t>
      </w:r>
      <w:r w:rsidRPr="002860E2">
        <w:rPr>
          <w:rFonts w:ascii="Arial" w:hAnsi="Arial" w:cs="Arial"/>
        </w:rPr>
        <w:t xml:space="preserve"> board</w:t>
      </w:r>
      <w:r>
        <w:rPr>
          <w:rFonts w:ascii="Arial" w:hAnsi="Arial" w:cs="Arial"/>
        </w:rPr>
        <w:t xml:space="preserve"> member</w:t>
      </w:r>
      <w:r w:rsidRPr="002860E2">
        <w:rPr>
          <w:rFonts w:ascii="Arial" w:hAnsi="Arial" w:cs="Arial"/>
        </w:rPr>
        <w:t xml:space="preserve">s. (Results not disclosed). </w:t>
      </w:r>
    </w:p>
    <w:p w:rsidR="002860E2" w:rsidP="008F2B92">
      <w:pPr>
        <w:spacing w:after="0" w:line="240" w:lineRule="auto"/>
        <w:textAlignment w:val="baseline"/>
        <w:rPr>
          <w:rFonts w:ascii="Arial" w:hAnsi="Arial" w:cs="Arial"/>
        </w:rPr>
      </w:pPr>
    </w:p>
    <w:p w:rsidR="00931083" w:rsidP="008F2B92">
      <w:pPr>
        <w:spacing w:after="0" w:line="240" w:lineRule="auto"/>
        <w:textAlignment w:val="baseline"/>
        <w:rPr>
          <w:rFonts w:ascii="Arial" w:hAnsi="Arial" w:cs="Arial"/>
        </w:rPr>
      </w:pPr>
      <w:r>
        <w:rPr>
          <w:rFonts w:ascii="Arial" w:hAnsi="Arial" w:cs="Arial"/>
        </w:rPr>
        <w:t>Overboarding</w:t>
      </w:r>
      <w:r>
        <w:rPr>
          <w:rFonts w:ascii="Arial" w:hAnsi="Arial" w:cs="Arial"/>
        </w:rPr>
        <w:t xml:space="preserve"> and Independence</w:t>
      </w:r>
    </w:p>
    <w:p w:rsidR="00931083" w:rsidP="008F2B92">
      <w:pPr>
        <w:spacing w:after="0" w:line="240" w:lineRule="auto"/>
        <w:textAlignment w:val="baseline"/>
        <w:rPr>
          <w:rFonts w:ascii="Arial" w:hAnsi="Arial" w:cs="Arial"/>
        </w:rPr>
      </w:pPr>
      <w:r w:rsidRPr="002860E2">
        <w:rPr>
          <w:rFonts w:ascii="Arial" w:hAnsi="Arial" w:cs="Arial"/>
        </w:rPr>
        <w:t xml:space="preserve">At </w:t>
      </w:r>
      <w:r w:rsidRPr="002860E2">
        <w:rPr>
          <w:rFonts w:ascii="Arial" w:hAnsi="Arial" w:cs="Arial"/>
        </w:rPr>
        <w:t>Fomento</w:t>
      </w:r>
      <w:r w:rsidRPr="002860E2">
        <w:rPr>
          <w:rFonts w:ascii="Arial" w:hAnsi="Arial" w:cs="Arial"/>
        </w:rPr>
        <w:t xml:space="preserve"> </w:t>
      </w:r>
      <w:r w:rsidRPr="002860E2">
        <w:rPr>
          <w:rFonts w:ascii="Arial" w:hAnsi="Arial" w:cs="Arial"/>
        </w:rPr>
        <w:t>Economico</w:t>
      </w:r>
      <w:r w:rsidRPr="002860E2">
        <w:rPr>
          <w:rFonts w:ascii="Arial" w:hAnsi="Arial" w:cs="Arial"/>
        </w:rPr>
        <w:t xml:space="preserve"> </w:t>
      </w:r>
      <w:r w:rsidRPr="002860E2">
        <w:rPr>
          <w:rFonts w:ascii="Arial" w:hAnsi="Arial" w:cs="Arial"/>
        </w:rPr>
        <w:t>Mexicano</w:t>
      </w:r>
      <w:r w:rsidRPr="002860E2">
        <w:rPr>
          <w:rFonts w:ascii="Arial" w:hAnsi="Arial" w:cs="Arial"/>
        </w:rPr>
        <w:t xml:space="preserve"> (Mexico: Soft Drinks), LPPI voted against the bundled slate of director nominations due to the presence of three </w:t>
      </w:r>
      <w:r w:rsidRPr="002860E2">
        <w:rPr>
          <w:rFonts w:ascii="Arial" w:hAnsi="Arial" w:cs="Arial"/>
        </w:rPr>
        <w:t>overboarded</w:t>
      </w:r>
      <w:r w:rsidRPr="002860E2">
        <w:rPr>
          <w:rFonts w:ascii="Arial" w:hAnsi="Arial" w:cs="Arial"/>
        </w:rPr>
        <w:t xml:space="preserve"> directors, </w:t>
      </w:r>
      <w:r>
        <w:rPr>
          <w:rFonts w:ascii="Arial" w:hAnsi="Arial" w:cs="Arial"/>
        </w:rPr>
        <w:t>an</w:t>
      </w:r>
      <w:r w:rsidRPr="002860E2">
        <w:rPr>
          <w:rFonts w:ascii="Arial" w:hAnsi="Arial" w:cs="Arial"/>
        </w:rPr>
        <w:t xml:space="preserve"> insufficient</w:t>
      </w:r>
      <w:r>
        <w:rPr>
          <w:rFonts w:ascii="Arial" w:hAnsi="Arial" w:cs="Arial"/>
        </w:rPr>
        <w:t>ly</w:t>
      </w:r>
      <w:r w:rsidRPr="002860E2">
        <w:rPr>
          <w:rFonts w:ascii="Arial" w:hAnsi="Arial" w:cs="Arial"/>
        </w:rPr>
        <w:t xml:space="preserve"> independen</w:t>
      </w:r>
      <w:r>
        <w:rPr>
          <w:rFonts w:ascii="Arial" w:hAnsi="Arial" w:cs="Arial"/>
        </w:rPr>
        <w:t>t</w:t>
      </w:r>
      <w:r w:rsidRPr="002860E2">
        <w:rPr>
          <w:rFonts w:ascii="Arial" w:hAnsi="Arial" w:cs="Arial"/>
        </w:rPr>
        <w:t xml:space="preserve"> Board, and the practice of the bundled slate. (Result not disclosed) </w:t>
      </w:r>
    </w:p>
    <w:p w:rsidR="00931083" w:rsidP="008F2B92">
      <w:pPr>
        <w:spacing w:after="0" w:line="240" w:lineRule="auto"/>
        <w:textAlignment w:val="baseline"/>
        <w:rPr>
          <w:rFonts w:ascii="Arial" w:hAnsi="Arial" w:cs="Arial"/>
        </w:rPr>
      </w:pPr>
    </w:p>
    <w:p w:rsidR="00E80FFE" w:rsidRPr="002860E2" w:rsidP="00E80FFE">
      <w:pPr>
        <w:autoSpaceDE w:val="0"/>
        <w:autoSpaceDN w:val="0"/>
        <w:adjustRightInd w:val="0"/>
        <w:spacing w:after="0" w:line="240" w:lineRule="auto"/>
        <w:rPr>
          <w:rFonts w:ascii="Arial" w:eastAsia="Times New Roman" w:hAnsi="Arial" w:cs="Arial"/>
          <w:color w:val="000000"/>
          <w:lang w:eastAsia="en-GB"/>
        </w:rPr>
      </w:pPr>
      <w:r w:rsidRPr="002860E2">
        <w:rPr>
          <w:rFonts w:ascii="Arial" w:eastAsia="Times New Roman" w:hAnsi="Arial" w:cs="Arial"/>
          <w:color w:val="000000"/>
          <w:lang w:eastAsia="en-GB"/>
        </w:rPr>
        <w:t>At Max Financial Services Limited (India: Life &amp; Health Insurance), LPPI voted against one director due to attendance being below 75% without a satisfactory explanation. Result: 10.0% against.</w:t>
      </w:r>
    </w:p>
    <w:p w:rsidR="00E80FFE" w:rsidP="008F2B92">
      <w:pPr>
        <w:spacing w:after="0" w:line="240" w:lineRule="auto"/>
        <w:textAlignment w:val="baseline"/>
        <w:rPr>
          <w:rFonts w:ascii="Arial" w:hAnsi="Arial" w:cs="Arial"/>
        </w:rPr>
      </w:pPr>
    </w:p>
    <w:p w:rsidR="002D7E48" w:rsidRPr="002860E2" w:rsidP="008F2B92">
      <w:pPr>
        <w:spacing w:after="0" w:line="240" w:lineRule="auto"/>
        <w:textAlignment w:val="baseline"/>
        <w:rPr>
          <w:rFonts w:ascii="Arial" w:eastAsia="Times New Roman" w:hAnsi="Arial" w:cs="Arial"/>
          <w:color w:val="000000"/>
          <w:lang w:eastAsia="en-GB"/>
        </w:rPr>
      </w:pPr>
      <w:r w:rsidRPr="002860E2">
        <w:rPr>
          <w:rFonts w:ascii="Arial" w:hAnsi="Arial" w:cs="Arial"/>
        </w:rPr>
        <w:t xml:space="preserve">At Svenska Handelsbanken AB (Sweden: Diversified Banks), LPPI voted against the election of three director </w:t>
      </w:r>
      <w:r>
        <w:rPr>
          <w:rFonts w:ascii="Arial" w:hAnsi="Arial" w:cs="Arial"/>
        </w:rPr>
        <w:t xml:space="preserve">nominees on the grounds </w:t>
      </w:r>
      <w:r w:rsidRPr="002860E2">
        <w:rPr>
          <w:rFonts w:ascii="Arial" w:hAnsi="Arial" w:cs="Arial"/>
        </w:rPr>
        <w:t>they would serve as non-independent directors on an Audit Committee with an already insufficient level of independence. (Results not disclosed)</w:t>
      </w:r>
    </w:p>
    <w:p w:rsidR="00931083" w:rsidP="00752573">
      <w:pPr>
        <w:autoSpaceDE w:val="0"/>
        <w:autoSpaceDN w:val="0"/>
        <w:adjustRightInd w:val="0"/>
        <w:spacing w:after="0" w:line="240" w:lineRule="auto"/>
        <w:rPr>
          <w:rFonts w:ascii="Arial" w:eastAsia="Times New Roman" w:hAnsi="Arial" w:cs="Arial"/>
          <w:color w:val="000000"/>
          <w:lang w:eastAsia="en-GB"/>
        </w:rPr>
      </w:pPr>
    </w:p>
    <w:p w:rsidR="00E80FFE" w:rsidP="009A795C">
      <w:pPr>
        <w:spacing w:after="0" w:line="240" w:lineRule="auto"/>
        <w:rPr>
          <w:rFonts w:ascii="Arial" w:eastAsia="Calibri" w:hAnsi="Arial" w:cs="Arial"/>
          <w:b/>
          <w:bCs/>
          <w:i/>
          <w:color w:val="000000"/>
        </w:rPr>
      </w:pPr>
    </w:p>
    <w:p w:rsidR="009A795C" w:rsidRPr="00E80FFE" w:rsidP="009A795C">
      <w:pPr>
        <w:spacing w:after="0" w:line="240" w:lineRule="auto"/>
        <w:rPr>
          <w:rFonts w:ascii="Arial" w:eastAsia="Calibri" w:hAnsi="Arial" w:cs="Arial"/>
          <w:b/>
          <w:bCs/>
          <w:iCs/>
          <w:color w:val="000000"/>
        </w:rPr>
      </w:pPr>
      <w:r w:rsidRPr="00E80FFE">
        <w:rPr>
          <w:rFonts w:ascii="Arial" w:eastAsia="Calibri" w:hAnsi="Arial" w:cs="Arial"/>
          <w:b/>
          <w:bCs/>
          <w:iCs/>
          <w:color w:val="000000"/>
        </w:rPr>
        <w:t>Insights – Non-salary compensation</w:t>
      </w:r>
    </w:p>
    <w:p w:rsidR="00E80FFE" w:rsidP="009A795C">
      <w:pPr>
        <w:spacing w:after="0" w:line="240" w:lineRule="auto"/>
        <w:rPr>
          <w:rFonts w:ascii="Arial" w:hAnsi="Arial" w:cs="Arial"/>
        </w:rPr>
      </w:pPr>
    </w:p>
    <w:p w:rsidR="00931083" w:rsidP="009A795C">
      <w:pPr>
        <w:spacing w:after="0" w:line="240" w:lineRule="auto"/>
      </w:pPr>
      <w:r w:rsidRPr="00E80FFE">
        <w:rPr>
          <w:rFonts w:ascii="Arial" w:hAnsi="Arial" w:cs="Arial"/>
        </w:rPr>
        <w:t>LPPI voted against six remuneration proposals across six companies</w:t>
      </w:r>
      <w:r>
        <w:rPr>
          <w:rFonts w:ascii="Arial" w:hAnsi="Arial" w:cs="Arial"/>
        </w:rPr>
        <w:t>.</w:t>
      </w:r>
    </w:p>
    <w:p w:rsidR="00E80FFE" w:rsidP="009A795C">
      <w:pPr>
        <w:spacing w:after="0" w:line="240" w:lineRule="auto"/>
        <w:rPr>
          <w:rFonts w:ascii="Arial" w:eastAsia="Times New Roman" w:hAnsi="Arial" w:cs="Arial"/>
          <w:color w:val="000000"/>
          <w:lang w:eastAsia="en-GB"/>
        </w:rPr>
      </w:pPr>
      <w:r w:rsidRPr="00E80FFE">
        <w:rPr>
          <w:rFonts w:ascii="Arial" w:eastAsia="Times New Roman" w:hAnsi="Arial" w:cs="Arial"/>
          <w:color w:val="000000"/>
          <w:lang w:eastAsia="en-GB"/>
        </w:rPr>
        <w:t xml:space="preserve">LPPI voted against the say on pay </w:t>
      </w:r>
      <w:r>
        <w:rPr>
          <w:rFonts w:ascii="Arial" w:eastAsia="Times New Roman" w:hAnsi="Arial" w:cs="Arial"/>
          <w:color w:val="000000"/>
          <w:lang w:eastAsia="en-GB"/>
        </w:rPr>
        <w:t>at:</w:t>
      </w:r>
    </w:p>
    <w:p w:rsidR="00931083" w:rsidRPr="00E80FFE" w:rsidP="009A795C">
      <w:pPr>
        <w:spacing w:after="0" w:line="240" w:lineRule="auto"/>
        <w:rPr>
          <w:rFonts w:ascii="Arial" w:eastAsia="Times New Roman" w:hAnsi="Arial" w:cs="Arial"/>
          <w:color w:val="000000"/>
          <w:lang w:eastAsia="en-GB"/>
        </w:rPr>
      </w:pPr>
      <w:r w:rsidRPr="00E80FFE">
        <w:rPr>
          <w:rFonts w:ascii="Arial" w:eastAsia="Times New Roman" w:hAnsi="Arial" w:cs="Arial"/>
          <w:color w:val="000000"/>
          <w:lang w:eastAsia="en-GB"/>
        </w:rPr>
        <w:t>Starbucks (USA: Restaurants)</w:t>
      </w:r>
      <w:r>
        <w:rPr>
          <w:rFonts w:ascii="Arial" w:eastAsia="Times New Roman" w:hAnsi="Arial" w:cs="Arial"/>
          <w:color w:val="000000"/>
          <w:lang w:eastAsia="en-GB"/>
        </w:rPr>
        <w:t xml:space="preserve"> where a</w:t>
      </w:r>
      <w:r w:rsidRPr="00E80FFE">
        <w:rPr>
          <w:rFonts w:ascii="Arial" w:eastAsia="Times New Roman" w:hAnsi="Arial" w:cs="Arial"/>
          <w:color w:val="000000"/>
          <w:lang w:eastAsia="en-GB"/>
        </w:rPr>
        <w:t xml:space="preserve">nalysis highlighted the second consecutive </w:t>
      </w:r>
      <w:r>
        <w:rPr>
          <w:rFonts w:ascii="Arial" w:eastAsia="Times New Roman" w:hAnsi="Arial" w:cs="Arial"/>
          <w:color w:val="000000"/>
          <w:lang w:eastAsia="en-GB"/>
        </w:rPr>
        <w:t xml:space="preserve">use of a </w:t>
      </w:r>
      <w:r w:rsidRPr="00E80FFE">
        <w:rPr>
          <w:rFonts w:ascii="Arial" w:eastAsia="Times New Roman" w:hAnsi="Arial" w:cs="Arial"/>
          <w:color w:val="000000"/>
          <w:lang w:eastAsia="en-GB"/>
        </w:rPr>
        <w:t xml:space="preserve">“one-time” pay award and insufficient rationale for a significant long-term performance award being paid entirely in cash. Result: 52.5% Against. </w:t>
      </w:r>
    </w:p>
    <w:p w:rsidR="00931083" w:rsidRPr="00E80FFE" w:rsidP="009A795C">
      <w:pPr>
        <w:spacing w:after="0" w:line="240" w:lineRule="auto"/>
        <w:rPr>
          <w:rFonts w:ascii="Arial" w:eastAsia="Times New Roman" w:hAnsi="Arial" w:cs="Arial"/>
          <w:color w:val="000000"/>
          <w:lang w:eastAsia="en-GB"/>
        </w:rPr>
      </w:pPr>
    </w:p>
    <w:p w:rsidR="00931083" w:rsidRPr="00775D16" w:rsidP="009A795C">
      <w:pPr>
        <w:spacing w:after="0" w:line="240" w:lineRule="auto"/>
        <w:rPr>
          <w:rFonts w:ascii="Arial" w:eastAsia="Times New Roman" w:hAnsi="Arial" w:cs="Arial"/>
          <w:color w:val="000000"/>
          <w:lang w:eastAsia="en-GB"/>
        </w:rPr>
      </w:pPr>
      <w:r w:rsidRPr="00775D16">
        <w:rPr>
          <w:rFonts w:ascii="Arial" w:eastAsia="Times New Roman" w:hAnsi="Arial" w:cs="Arial"/>
          <w:color w:val="000000"/>
          <w:lang w:eastAsia="en-GB"/>
        </w:rPr>
        <w:t xml:space="preserve">Becton, Dickinson and Company (USA: Health Care Equipment), opposing the use of one time pay awards to offset the lower value of long-term performance shares for NEOs. The company acknowledged the low award was not solely due to the pandemic and did not provide sufficient justification for the one-time award. Result: 33.0% Against. </w:t>
      </w:r>
    </w:p>
    <w:p w:rsidR="00931083" w:rsidRPr="00775D16" w:rsidP="009A795C">
      <w:pPr>
        <w:spacing w:after="0" w:line="240" w:lineRule="auto"/>
        <w:rPr>
          <w:rFonts w:ascii="Arial" w:eastAsia="Times New Roman" w:hAnsi="Arial" w:cs="Arial"/>
          <w:color w:val="000000"/>
          <w:lang w:eastAsia="en-GB"/>
        </w:rPr>
      </w:pPr>
    </w:p>
    <w:p w:rsidR="00931083" w:rsidRPr="00775D16" w:rsidP="009A795C">
      <w:pPr>
        <w:spacing w:after="0" w:line="240" w:lineRule="auto"/>
        <w:rPr>
          <w:rFonts w:ascii="Arial" w:eastAsia="Times New Roman" w:hAnsi="Arial" w:cs="Arial"/>
          <w:color w:val="000000"/>
          <w:lang w:eastAsia="en-GB"/>
        </w:rPr>
      </w:pPr>
      <w:r w:rsidRPr="00775D16">
        <w:rPr>
          <w:rFonts w:ascii="Arial" w:eastAsia="Times New Roman" w:hAnsi="Arial" w:cs="Arial"/>
          <w:color w:val="000000"/>
          <w:lang w:eastAsia="en-GB"/>
        </w:rPr>
        <w:t>Hologic, Inc (USA: Health Care Equipment)</w:t>
      </w:r>
      <w:r>
        <w:rPr>
          <w:rFonts w:ascii="Arial" w:eastAsia="Times New Roman" w:hAnsi="Arial" w:cs="Arial"/>
          <w:color w:val="000000"/>
          <w:lang w:eastAsia="en-GB"/>
        </w:rPr>
        <w:t xml:space="preserve"> </w:t>
      </w:r>
      <w:r w:rsidRPr="00775D16">
        <w:rPr>
          <w:rFonts w:ascii="Arial" w:eastAsia="Times New Roman" w:hAnsi="Arial" w:cs="Arial"/>
          <w:color w:val="000000"/>
          <w:lang w:eastAsia="en-GB"/>
        </w:rPr>
        <w:t>due to a lack of clarity in aspects of the Long</w:t>
      </w:r>
      <w:r>
        <w:rPr>
          <w:rFonts w:ascii="Arial" w:eastAsia="Times New Roman" w:hAnsi="Arial" w:cs="Arial"/>
          <w:color w:val="000000"/>
          <w:lang w:eastAsia="en-GB"/>
        </w:rPr>
        <w:t>-</w:t>
      </w:r>
      <w:r w:rsidRPr="00775D16">
        <w:rPr>
          <w:rFonts w:ascii="Arial" w:eastAsia="Times New Roman" w:hAnsi="Arial" w:cs="Arial"/>
          <w:color w:val="000000"/>
          <w:lang w:eastAsia="en-GB"/>
        </w:rPr>
        <w:t>Term Incentive Plan, the lack of stretch in performance targets, and concerns around payments to a retiring NEO not yet eligible for the</w:t>
      </w:r>
      <w:r>
        <w:rPr>
          <w:rFonts w:ascii="Arial" w:eastAsia="Times New Roman" w:hAnsi="Arial" w:cs="Arial"/>
          <w:color w:val="000000"/>
          <w:lang w:eastAsia="en-GB"/>
        </w:rPr>
        <w:t>m</w:t>
      </w:r>
      <w:r w:rsidRPr="00775D16">
        <w:rPr>
          <w:rFonts w:ascii="Arial" w:eastAsia="Times New Roman" w:hAnsi="Arial" w:cs="Arial"/>
          <w:color w:val="000000"/>
          <w:lang w:eastAsia="en-GB"/>
        </w:rPr>
        <w:t>. Result: 31.0% Against.</w:t>
      </w:r>
    </w:p>
    <w:p w:rsidR="00A65A52" w:rsidRPr="00775D16" w:rsidP="00110C66">
      <w:pPr>
        <w:spacing w:after="0" w:line="240" w:lineRule="auto"/>
        <w:rPr>
          <w:rFonts w:eastAsia="Times New Roman"/>
          <w:lang w:eastAsia="en-GB"/>
        </w:rPr>
      </w:pPr>
    </w:p>
    <w:p w:rsidR="006642A5" w:rsidRPr="00E80FFE" w:rsidP="009A795C">
      <w:pPr>
        <w:spacing w:after="0" w:line="240" w:lineRule="auto"/>
        <w:rPr>
          <w:rFonts w:ascii="Arial" w:eastAsia="Calibri" w:hAnsi="Arial" w:cs="Arial"/>
          <w:b/>
          <w:bCs/>
          <w:color w:val="000000"/>
          <w:lang w:val="en-US"/>
        </w:rPr>
      </w:pPr>
    </w:p>
    <w:p w:rsidR="000779AC" w:rsidRPr="00E80FFE" w:rsidP="00E80FFE">
      <w:pPr>
        <w:spacing w:after="0" w:line="240" w:lineRule="auto"/>
        <w:rPr>
          <w:rFonts w:ascii="Arial" w:hAnsi="Arial" w:cs="Arial"/>
          <w:b/>
          <w:bCs/>
          <w:color w:val="000000"/>
        </w:rPr>
      </w:pPr>
      <w:r w:rsidRPr="00E80FFE">
        <w:rPr>
          <w:rFonts w:ascii="Arial" w:hAnsi="Arial" w:cs="Arial"/>
          <w:b/>
          <w:bCs/>
          <w:color w:val="000000"/>
        </w:rPr>
        <w:t>Insights - Shareholder Proposals</w:t>
      </w:r>
    </w:p>
    <w:p w:rsidR="000B65C8" w:rsidP="000B65C8">
      <w:pPr>
        <w:autoSpaceDE w:val="0"/>
        <w:autoSpaceDN w:val="0"/>
        <w:adjustRightInd w:val="0"/>
        <w:spacing w:after="0" w:line="240" w:lineRule="auto"/>
        <w:rPr>
          <w:rFonts w:ascii="ArialMT" w:hAnsi="ArialMT" w:cs="ArialMT"/>
          <w:sz w:val="19"/>
          <w:szCs w:val="19"/>
        </w:rPr>
      </w:pPr>
    </w:p>
    <w:p w:rsidR="00775D16" w:rsidP="00F11BED">
      <w:pPr>
        <w:autoSpaceDE w:val="0"/>
        <w:autoSpaceDN w:val="0"/>
        <w:adjustRightInd w:val="0"/>
        <w:spacing w:after="0" w:line="240" w:lineRule="auto"/>
        <w:rPr>
          <w:rFonts w:ascii="Arial" w:hAnsi="Arial" w:cs="Arial"/>
        </w:rPr>
      </w:pPr>
      <w:r w:rsidRPr="00775D16">
        <w:rPr>
          <w:rFonts w:ascii="Arial" w:hAnsi="Arial" w:cs="Arial"/>
        </w:rPr>
        <w:t>LPPI voted on six shareholder proposals</w:t>
      </w:r>
      <w:r>
        <w:rPr>
          <w:rFonts w:ascii="Arial" w:hAnsi="Arial" w:cs="Arial"/>
        </w:rPr>
        <w:t>,</w:t>
      </w:r>
      <w:r w:rsidRPr="00775D16">
        <w:rPr>
          <w:rFonts w:ascii="Arial" w:hAnsi="Arial" w:cs="Arial"/>
        </w:rPr>
        <w:t xml:space="preserve"> support</w:t>
      </w:r>
      <w:r>
        <w:rPr>
          <w:rFonts w:ascii="Arial" w:hAnsi="Arial" w:cs="Arial"/>
        </w:rPr>
        <w:t>ing</w:t>
      </w:r>
      <w:r w:rsidRPr="00775D16">
        <w:rPr>
          <w:rFonts w:ascii="Arial" w:hAnsi="Arial" w:cs="Arial"/>
        </w:rPr>
        <w:t xml:space="preserve"> three (50%). </w:t>
      </w:r>
    </w:p>
    <w:p w:rsidR="00775D16" w:rsidP="00F11BED">
      <w:pPr>
        <w:autoSpaceDE w:val="0"/>
        <w:autoSpaceDN w:val="0"/>
        <w:adjustRightInd w:val="0"/>
        <w:spacing w:after="0" w:line="240" w:lineRule="auto"/>
        <w:rPr>
          <w:rFonts w:ascii="Arial" w:hAnsi="Arial" w:cs="Arial"/>
        </w:rPr>
      </w:pPr>
    </w:p>
    <w:p w:rsidR="00775D16" w:rsidP="00F11BED">
      <w:pPr>
        <w:autoSpaceDE w:val="0"/>
        <w:autoSpaceDN w:val="0"/>
        <w:adjustRightInd w:val="0"/>
        <w:spacing w:after="0" w:line="240" w:lineRule="auto"/>
        <w:rPr>
          <w:rFonts w:ascii="Arial" w:hAnsi="Arial" w:cs="Arial"/>
        </w:rPr>
      </w:pPr>
      <w:r w:rsidRPr="00775D16">
        <w:rPr>
          <w:rFonts w:ascii="Arial" w:hAnsi="Arial" w:cs="Arial"/>
        </w:rPr>
        <w:t>At Visa (USA: Data Processing &amp; Outsourced Services)</w:t>
      </w:r>
      <w:r>
        <w:rPr>
          <w:rFonts w:ascii="Arial" w:hAnsi="Arial" w:cs="Arial"/>
        </w:rPr>
        <w:t xml:space="preserve"> </w:t>
      </w:r>
      <w:r w:rsidRPr="00775D16">
        <w:rPr>
          <w:rFonts w:ascii="Arial" w:hAnsi="Arial" w:cs="Arial"/>
        </w:rPr>
        <w:t xml:space="preserve">LPPI supported </w:t>
      </w:r>
      <w:r>
        <w:rPr>
          <w:rFonts w:ascii="Arial" w:hAnsi="Arial" w:cs="Arial"/>
        </w:rPr>
        <w:t>a</w:t>
      </w:r>
      <w:r w:rsidRPr="00775D16">
        <w:rPr>
          <w:rFonts w:ascii="Arial" w:hAnsi="Arial" w:cs="Arial"/>
        </w:rPr>
        <w:t xml:space="preserve"> resolution to provide shareholders the right to act by written consent</w:t>
      </w:r>
      <w:r>
        <w:rPr>
          <w:rFonts w:ascii="Arial" w:hAnsi="Arial" w:cs="Arial"/>
        </w:rPr>
        <w:t xml:space="preserve"> (as a </w:t>
      </w:r>
      <w:r w:rsidRPr="00EF1193">
        <w:rPr>
          <w:rFonts w:ascii="Arial" w:hAnsi="Arial" w:cs="Arial"/>
        </w:rPr>
        <w:t>means to raise important matters outside the normal annual meeting cycle)</w:t>
      </w:r>
      <w:r w:rsidRPr="00775D16">
        <w:rPr>
          <w:rFonts w:ascii="Arial" w:hAnsi="Arial" w:cs="Arial"/>
        </w:rPr>
        <w:t xml:space="preserve">. Result: 40.8% For. </w:t>
      </w:r>
    </w:p>
    <w:p w:rsidR="00775D16" w:rsidP="00F11BED">
      <w:pPr>
        <w:autoSpaceDE w:val="0"/>
        <w:autoSpaceDN w:val="0"/>
        <w:adjustRightInd w:val="0"/>
        <w:spacing w:after="0" w:line="240" w:lineRule="auto"/>
        <w:rPr>
          <w:rFonts w:ascii="Arial" w:hAnsi="Arial" w:cs="Arial"/>
        </w:rPr>
      </w:pPr>
    </w:p>
    <w:p w:rsidR="00775D16" w:rsidP="00F11BED">
      <w:pPr>
        <w:autoSpaceDE w:val="0"/>
        <w:autoSpaceDN w:val="0"/>
        <w:adjustRightInd w:val="0"/>
        <w:spacing w:after="0" w:line="240" w:lineRule="auto"/>
        <w:rPr>
          <w:rFonts w:ascii="Arial" w:hAnsi="Arial" w:cs="Arial"/>
        </w:rPr>
      </w:pPr>
      <w:r w:rsidRPr="00775D16">
        <w:rPr>
          <w:rFonts w:ascii="Arial" w:hAnsi="Arial" w:cs="Arial"/>
        </w:rPr>
        <w:t xml:space="preserve">At Apple (USA: Technology Hardware, Storage &amp; Peripherals), LPPI supported the </w:t>
      </w:r>
      <w:r>
        <w:rPr>
          <w:rFonts w:ascii="Arial" w:hAnsi="Arial" w:cs="Arial"/>
        </w:rPr>
        <w:t>proposal</w:t>
      </w:r>
      <w:r w:rsidRPr="00775D16">
        <w:rPr>
          <w:rFonts w:ascii="Arial" w:hAnsi="Arial" w:cs="Arial"/>
        </w:rPr>
        <w:t xml:space="preserve"> to </w:t>
      </w:r>
      <w:r>
        <w:rPr>
          <w:rFonts w:ascii="Arial" w:hAnsi="Arial" w:cs="Arial"/>
        </w:rPr>
        <w:t xml:space="preserve">expand the rights of shareholders to </w:t>
      </w:r>
      <w:r w:rsidRPr="00775D16">
        <w:rPr>
          <w:rFonts w:ascii="Arial" w:hAnsi="Arial" w:cs="Arial"/>
        </w:rPr>
        <w:t>nominat</w:t>
      </w:r>
      <w:r>
        <w:rPr>
          <w:rFonts w:ascii="Arial" w:hAnsi="Arial" w:cs="Arial"/>
        </w:rPr>
        <w:t xml:space="preserve">e Board members, setting this at </w:t>
      </w:r>
      <w:r w:rsidRPr="00775D16">
        <w:rPr>
          <w:rFonts w:ascii="Arial" w:hAnsi="Arial" w:cs="Arial"/>
        </w:rPr>
        <w:t xml:space="preserve">the greater of 20% of the board or at least two candidates. Result: 34.2% For. </w:t>
      </w:r>
    </w:p>
    <w:p w:rsidR="00775D16" w:rsidP="00F11BED">
      <w:pPr>
        <w:autoSpaceDE w:val="0"/>
        <w:autoSpaceDN w:val="0"/>
        <w:adjustRightInd w:val="0"/>
        <w:spacing w:after="0" w:line="240" w:lineRule="auto"/>
        <w:rPr>
          <w:rFonts w:ascii="Arial" w:hAnsi="Arial" w:cs="Arial"/>
        </w:rPr>
      </w:pPr>
    </w:p>
    <w:p w:rsidR="0097306E" w:rsidRPr="00775D16" w:rsidP="00F11BED">
      <w:pPr>
        <w:autoSpaceDE w:val="0"/>
        <w:autoSpaceDN w:val="0"/>
        <w:adjustRightInd w:val="0"/>
        <w:spacing w:after="0" w:line="240" w:lineRule="auto"/>
        <w:rPr>
          <w:rFonts w:ascii="Arial" w:hAnsi="Arial" w:cs="Arial"/>
          <w:b/>
          <w:u w:val="single"/>
        </w:rPr>
      </w:pPr>
      <w:r w:rsidRPr="00775D16">
        <w:rPr>
          <w:rFonts w:ascii="Arial" w:hAnsi="Arial" w:cs="Arial"/>
        </w:rPr>
        <w:t xml:space="preserve">At Becton, Dickinson and Company (USA: Health Care Equipment), LPPI supported the </w:t>
      </w:r>
      <w:r>
        <w:rPr>
          <w:rFonts w:ascii="Arial" w:hAnsi="Arial" w:cs="Arial"/>
        </w:rPr>
        <w:t>proposal</w:t>
      </w:r>
      <w:r w:rsidRPr="00775D16">
        <w:rPr>
          <w:rFonts w:ascii="Arial" w:hAnsi="Arial" w:cs="Arial"/>
        </w:rPr>
        <w:t xml:space="preserve"> to reduce the ownership threshold for shareholders to call a special meeting from 25% to 15%. Result: 45.8% For.</w:t>
      </w:r>
    </w:p>
    <w:p w:rsidR="00775D16" w:rsidP="00F11BED">
      <w:pPr>
        <w:autoSpaceDE w:val="0"/>
        <w:autoSpaceDN w:val="0"/>
        <w:adjustRightInd w:val="0"/>
        <w:spacing w:after="0" w:line="240" w:lineRule="auto"/>
        <w:rPr>
          <w:rFonts w:ascii="Arial" w:hAnsi="Arial"/>
          <w:b/>
          <w:u w:val="single"/>
        </w:rPr>
      </w:pPr>
    </w:p>
    <w:p w:rsidR="006A3BEC" w:rsidRPr="00A7642D" w:rsidP="00F11BED">
      <w:pPr>
        <w:autoSpaceDE w:val="0"/>
        <w:autoSpaceDN w:val="0"/>
        <w:adjustRightInd w:val="0"/>
        <w:spacing w:after="0" w:line="240" w:lineRule="auto"/>
        <w:rPr>
          <w:rFonts w:ascii="Calibri" w:hAnsi="Calibri" w:cs="Calibri"/>
          <w:color w:val="000000"/>
          <w:u w:val="single"/>
        </w:rPr>
      </w:pPr>
      <w:r w:rsidRPr="00A7642D">
        <w:rPr>
          <w:rFonts w:ascii="Arial" w:hAnsi="Arial"/>
          <w:b/>
          <w:u w:val="single"/>
        </w:rPr>
        <w:t xml:space="preserve">Shareholder Engagement </w:t>
      </w:r>
    </w:p>
    <w:p w:rsidR="0097306E" w:rsidP="00846783">
      <w:pPr>
        <w:pStyle w:val="treb"/>
        <w:numPr>
          <w:ilvl w:val="0"/>
          <w:numId w:val="0"/>
        </w:numPr>
        <w:spacing w:after="0"/>
        <w:rPr>
          <w:rFonts w:ascii="Arial" w:hAnsi="Arial"/>
          <w:b w:val="0"/>
        </w:rPr>
      </w:pPr>
    </w:p>
    <w:p w:rsidR="0054616E" w:rsidRPr="00A7642D" w:rsidP="00846783">
      <w:pPr>
        <w:pStyle w:val="treb"/>
        <w:numPr>
          <w:ilvl w:val="0"/>
          <w:numId w:val="0"/>
        </w:numPr>
        <w:spacing w:after="0"/>
        <w:rPr>
          <w:rFonts w:ascii="Arial" w:hAnsi="Arial"/>
          <w:b w:val="0"/>
        </w:rPr>
      </w:pPr>
      <w:r w:rsidRPr="00A7642D">
        <w:rPr>
          <w:rFonts w:ascii="Arial" w:hAnsi="Arial"/>
          <w:b w:val="0"/>
        </w:rPr>
        <w:t>Company and manager engagements are underway</w:t>
      </w:r>
      <w:r>
        <w:rPr>
          <w:rFonts w:ascii="Arial" w:hAnsi="Arial"/>
          <w:b w:val="0"/>
        </w:rPr>
        <w:t xml:space="preserve"> on an ongoing basis,</w:t>
      </w:r>
      <w:r w:rsidRPr="00A7642D">
        <w:rPr>
          <w:rFonts w:ascii="Arial" w:hAnsi="Arial"/>
          <w:b w:val="0"/>
        </w:rPr>
        <w:t xml:space="preserve"> directly through board seats and Limited Partner Advisory Committees (LPAC) for private market assets, </w:t>
      </w:r>
      <w:r>
        <w:rPr>
          <w:rFonts w:ascii="Arial" w:hAnsi="Arial"/>
          <w:b w:val="0"/>
        </w:rPr>
        <w:t>and</w:t>
      </w:r>
      <w:r w:rsidRPr="00A7642D">
        <w:rPr>
          <w:rFonts w:ascii="Arial" w:hAnsi="Arial"/>
          <w:b w:val="0"/>
        </w:rPr>
        <w:t xml:space="preserve"> more conventionally through shareholder engagement with listed companies. </w:t>
      </w:r>
    </w:p>
    <w:p w:rsidR="003476FE" w:rsidRPr="00A7642D" w:rsidP="00846783">
      <w:pPr>
        <w:pStyle w:val="treb"/>
        <w:numPr>
          <w:ilvl w:val="0"/>
          <w:numId w:val="0"/>
        </w:numPr>
        <w:spacing w:after="0"/>
        <w:rPr>
          <w:rFonts w:ascii="Arial" w:hAnsi="Arial"/>
          <w:b w:val="0"/>
        </w:rPr>
      </w:pPr>
    </w:p>
    <w:p w:rsidR="00245CB4" w:rsidP="00852321">
      <w:pPr>
        <w:pStyle w:val="treb"/>
        <w:numPr>
          <w:ilvl w:val="0"/>
          <w:numId w:val="0"/>
        </w:numPr>
        <w:spacing w:after="0"/>
        <w:rPr>
          <w:rFonts w:ascii="Arial" w:hAnsi="Arial"/>
          <w:b w:val="0"/>
        </w:rPr>
      </w:pPr>
      <w:r w:rsidRPr="00A7642D">
        <w:rPr>
          <w:rFonts w:ascii="Arial" w:hAnsi="Arial"/>
          <w:b w:val="0"/>
        </w:rPr>
        <w:t>LPPI</w:t>
      </w:r>
      <w:r>
        <w:rPr>
          <w:rFonts w:ascii="Arial" w:hAnsi="Arial"/>
          <w:b w:val="0"/>
        </w:rPr>
        <w:t xml:space="preserve">’s engagement partner </w:t>
      </w:r>
      <w:r>
        <w:rPr>
          <w:rFonts w:ascii="Arial" w:hAnsi="Arial"/>
          <w:b w:val="0"/>
        </w:rPr>
        <w:t>Robeco</w:t>
      </w:r>
      <w:r>
        <w:rPr>
          <w:rFonts w:ascii="Arial" w:hAnsi="Arial"/>
          <w:b w:val="0"/>
        </w:rPr>
        <w:t xml:space="preserve"> has completed a fifth full quarter of engagement activity. The RI Dashboard (page 4) presents engagement headlines for the quarter which confirm the </w:t>
      </w:r>
      <w:r>
        <w:rPr>
          <w:rFonts w:ascii="Arial" w:hAnsi="Arial"/>
          <w:b w:val="0"/>
        </w:rPr>
        <w:t>Robeco</w:t>
      </w:r>
      <w:r>
        <w:rPr>
          <w:rFonts w:ascii="Arial" w:hAnsi="Arial"/>
          <w:b w:val="0"/>
        </w:rPr>
        <w:t xml:space="preserve"> Active Ownership Team undertook 53 activities in total, and the predominant focus (by topic) was environmental management. </w:t>
      </w:r>
    </w:p>
    <w:p w:rsidR="00325443" w:rsidP="00852321">
      <w:pPr>
        <w:pStyle w:val="treb"/>
        <w:numPr>
          <w:ilvl w:val="0"/>
          <w:numId w:val="0"/>
        </w:numPr>
        <w:spacing w:after="0"/>
        <w:rPr>
          <w:rFonts w:ascii="Arial" w:hAnsi="Arial"/>
          <w:b w:val="0"/>
        </w:rPr>
      </w:pPr>
    </w:p>
    <w:p w:rsidR="00852321" w:rsidP="00852321">
      <w:pPr>
        <w:pStyle w:val="treb"/>
        <w:numPr>
          <w:ilvl w:val="0"/>
          <w:numId w:val="0"/>
        </w:numPr>
        <w:spacing w:after="0"/>
        <w:rPr>
          <w:rFonts w:ascii="Arial" w:hAnsi="Arial"/>
          <w:b w:val="0"/>
        </w:rPr>
      </w:pPr>
      <w:r>
        <w:rPr>
          <w:rFonts w:ascii="Arial" w:hAnsi="Arial"/>
          <w:b w:val="0"/>
        </w:rPr>
        <w:t xml:space="preserve">Page 5 of the Dashboard summarises the current status of each live engagement theme (as it stood at the end of Q1).  </w:t>
      </w:r>
      <w:r>
        <w:rPr>
          <w:rFonts w:ascii="Arial" w:hAnsi="Arial"/>
          <w:b w:val="0"/>
        </w:rPr>
        <w:t>Robeco</w:t>
      </w:r>
      <w:r>
        <w:rPr>
          <w:rFonts w:ascii="Arial" w:hAnsi="Arial"/>
          <w:b w:val="0"/>
        </w:rPr>
        <w:t xml:space="preserve"> have reformatted the summary of Results by Theme to show them grouped according to whether they are </w:t>
      </w:r>
      <w:r>
        <w:rPr>
          <w:rFonts w:ascii="Arial" w:hAnsi="Arial"/>
          <w:b w:val="0"/>
        </w:rPr>
        <w:t>E,S</w:t>
      </w:r>
      <w:r>
        <w:rPr>
          <w:rFonts w:ascii="Arial" w:hAnsi="Arial"/>
          <w:b w:val="0"/>
        </w:rPr>
        <w:t xml:space="preserve"> or G themes. </w:t>
      </w:r>
    </w:p>
    <w:p w:rsidR="00852321" w:rsidP="00852321">
      <w:pPr>
        <w:pStyle w:val="treb"/>
        <w:numPr>
          <w:ilvl w:val="0"/>
          <w:numId w:val="0"/>
        </w:numPr>
        <w:spacing w:after="0"/>
        <w:rPr>
          <w:rFonts w:ascii="Arial" w:hAnsi="Arial"/>
          <w:b w:val="0"/>
        </w:rPr>
      </w:pPr>
    </w:p>
    <w:p w:rsidR="00CF475B" w:rsidP="00D50CB4">
      <w:pPr>
        <w:pStyle w:val="treb"/>
        <w:numPr>
          <w:ilvl w:val="0"/>
          <w:numId w:val="0"/>
        </w:numPr>
        <w:spacing w:after="0"/>
        <w:rPr>
          <w:rFonts w:ascii="Arial" w:hAnsi="Arial"/>
          <w:b w:val="0"/>
        </w:rPr>
      </w:pPr>
      <w:r w:rsidRPr="00C46E71">
        <w:rPr>
          <w:rFonts w:ascii="Arial" w:hAnsi="Arial"/>
          <w:b w:val="0"/>
        </w:rPr>
        <w:t xml:space="preserve">21 themes were live at the end of Q4. Of these, 4 themes (Sound Environmental Management, Sound Social Management, Good Governance, and Global Controversy Engagement) are evergreen, the remaining 17 are thematic and reflect priorities identified through a combination of </w:t>
      </w:r>
      <w:r w:rsidRPr="00C46E71">
        <w:rPr>
          <w:rFonts w:ascii="Arial" w:hAnsi="Arial"/>
          <w:b w:val="0"/>
        </w:rPr>
        <w:t>Robeco</w:t>
      </w:r>
      <w:r w:rsidRPr="00C46E71">
        <w:rPr>
          <w:rFonts w:ascii="Arial" w:hAnsi="Arial"/>
          <w:b w:val="0"/>
        </w:rPr>
        <w:t xml:space="preserve"> research and client input. Each theme is scheduled to last approximately three years, with progress continually tracked against clear objectives.</w:t>
      </w:r>
      <w:r w:rsidRPr="00D50CB4">
        <w:rPr>
          <w:rFonts w:ascii="Arial" w:hAnsi="Arial"/>
          <w:b w:val="0"/>
        </w:rPr>
        <w:t xml:space="preserve"> </w:t>
      </w:r>
    </w:p>
    <w:p w:rsidR="00CF475B" w:rsidP="00D50CB4">
      <w:pPr>
        <w:pStyle w:val="treb"/>
        <w:numPr>
          <w:ilvl w:val="0"/>
          <w:numId w:val="0"/>
        </w:numPr>
        <w:spacing w:after="0"/>
        <w:rPr>
          <w:rFonts w:ascii="Arial" w:hAnsi="Arial"/>
          <w:b w:val="0"/>
        </w:rPr>
      </w:pPr>
    </w:p>
    <w:p w:rsidR="00D96FA4" w:rsidRPr="00A7642D" w:rsidP="00D96FA4">
      <w:pPr>
        <w:pStyle w:val="treb"/>
        <w:numPr>
          <w:ilvl w:val="0"/>
          <w:numId w:val="0"/>
        </w:numPr>
        <w:spacing w:after="0"/>
        <w:rPr>
          <w:rFonts w:ascii="Arial" w:hAnsi="Arial"/>
          <w:b w:val="0"/>
        </w:rPr>
      </w:pPr>
      <w:r w:rsidRPr="00A7642D">
        <w:rPr>
          <w:rFonts w:ascii="Arial" w:hAnsi="Arial"/>
          <w:b w:val="0"/>
        </w:rPr>
        <w:t xml:space="preserve">The Active Ownership Report </w:t>
      </w:r>
      <w:r>
        <w:rPr>
          <w:rFonts w:ascii="Arial" w:hAnsi="Arial"/>
          <w:b w:val="0"/>
        </w:rPr>
        <w:t xml:space="preserve"> (</w:t>
      </w:r>
      <w:r w:rsidRPr="009F4F17">
        <w:rPr>
          <w:rFonts w:ascii="Arial" w:hAnsi="Arial"/>
          <w:b w:val="0"/>
        </w:rPr>
        <w:t>a copy of which is available for Committee members to view in the online Pensions Library</w:t>
      </w:r>
      <w:r>
        <w:rPr>
          <w:rFonts w:ascii="Arial" w:hAnsi="Arial"/>
          <w:b w:val="0"/>
        </w:rPr>
        <w:t xml:space="preserve">) </w:t>
      </w:r>
      <w:r w:rsidRPr="00A7642D">
        <w:rPr>
          <w:rFonts w:ascii="Arial" w:hAnsi="Arial"/>
          <w:b w:val="0"/>
        </w:rPr>
        <w:t xml:space="preserve">provides </w:t>
      </w:r>
      <w:r>
        <w:rPr>
          <w:rFonts w:ascii="Arial" w:hAnsi="Arial"/>
          <w:b w:val="0"/>
        </w:rPr>
        <w:t xml:space="preserve">detailed </w:t>
      </w:r>
      <w:r w:rsidRPr="00A7642D">
        <w:rPr>
          <w:rFonts w:ascii="Arial" w:hAnsi="Arial"/>
          <w:b w:val="0"/>
        </w:rPr>
        <w:t>narrative on thematic engagements underway with listed companies (</w:t>
      </w:r>
      <w:r>
        <w:rPr>
          <w:rFonts w:ascii="Arial" w:hAnsi="Arial"/>
          <w:b w:val="0"/>
        </w:rPr>
        <w:t xml:space="preserve">representing </w:t>
      </w:r>
      <w:r w:rsidRPr="00A7642D">
        <w:rPr>
          <w:rFonts w:ascii="Arial" w:hAnsi="Arial"/>
          <w:b w:val="0"/>
        </w:rPr>
        <w:t>shares held by the G</w:t>
      </w:r>
      <w:r>
        <w:rPr>
          <w:rFonts w:ascii="Arial" w:hAnsi="Arial"/>
          <w:b w:val="0"/>
        </w:rPr>
        <w:t xml:space="preserve">lobal </w:t>
      </w:r>
      <w:r w:rsidRPr="00A7642D">
        <w:rPr>
          <w:rFonts w:ascii="Arial" w:hAnsi="Arial"/>
          <w:b w:val="0"/>
        </w:rPr>
        <w:t>E</w:t>
      </w:r>
      <w:r>
        <w:rPr>
          <w:rFonts w:ascii="Arial" w:hAnsi="Arial"/>
          <w:b w:val="0"/>
        </w:rPr>
        <w:t xml:space="preserve">quities </w:t>
      </w:r>
      <w:r w:rsidRPr="00A7642D">
        <w:rPr>
          <w:rFonts w:ascii="Arial" w:hAnsi="Arial"/>
          <w:b w:val="0"/>
        </w:rPr>
        <w:t>F</w:t>
      </w:r>
      <w:r>
        <w:rPr>
          <w:rFonts w:ascii="Arial" w:hAnsi="Arial"/>
          <w:b w:val="0"/>
        </w:rPr>
        <w:t>und,</w:t>
      </w:r>
      <w:r w:rsidRPr="00A7642D">
        <w:rPr>
          <w:rFonts w:ascii="Arial" w:hAnsi="Arial"/>
          <w:b w:val="0"/>
        </w:rPr>
        <w:t xml:space="preserve"> </w:t>
      </w:r>
      <w:r>
        <w:rPr>
          <w:rFonts w:ascii="Arial" w:hAnsi="Arial"/>
          <w:b w:val="0"/>
        </w:rPr>
        <w:t>or</w:t>
      </w:r>
      <w:r w:rsidRPr="00A7642D">
        <w:rPr>
          <w:rFonts w:ascii="Arial" w:hAnsi="Arial"/>
          <w:b w:val="0"/>
        </w:rPr>
        <w:t xml:space="preserve"> corporate bonds held by the LPPI Fixed Income Fund).  </w:t>
      </w:r>
    </w:p>
    <w:p w:rsidR="00BA64A5" w:rsidP="0026739E">
      <w:pPr>
        <w:pStyle w:val="treb"/>
        <w:numPr>
          <w:ilvl w:val="0"/>
          <w:numId w:val="0"/>
        </w:numPr>
        <w:spacing w:after="0"/>
        <w:rPr>
          <w:rFonts w:ascii="Arial" w:hAnsi="Arial"/>
          <w:b w:val="0"/>
        </w:rPr>
      </w:pPr>
    </w:p>
    <w:p w:rsidR="0026739E" w:rsidP="0026739E">
      <w:pPr>
        <w:pStyle w:val="treb"/>
        <w:numPr>
          <w:ilvl w:val="0"/>
          <w:numId w:val="0"/>
        </w:numPr>
        <w:spacing w:after="0"/>
        <w:rPr>
          <w:rFonts w:ascii="Arial" w:hAnsi="Arial"/>
          <w:b w:val="0"/>
          <w:bCs w:val="0"/>
        </w:rPr>
      </w:pPr>
      <w:r>
        <w:rPr>
          <w:rFonts w:ascii="Arial" w:hAnsi="Arial"/>
          <w:b w:val="0"/>
          <w:bCs w:val="0"/>
        </w:rPr>
        <w:t xml:space="preserve">Each quarter, we provide further insights into one of the live themes underway by the </w:t>
      </w:r>
      <w:r>
        <w:rPr>
          <w:rFonts w:ascii="Arial" w:hAnsi="Arial"/>
          <w:b w:val="0"/>
          <w:bCs w:val="0"/>
        </w:rPr>
        <w:t>Robeco</w:t>
      </w:r>
      <w:r>
        <w:rPr>
          <w:rFonts w:ascii="Arial" w:hAnsi="Arial"/>
          <w:b w:val="0"/>
          <w:bCs w:val="0"/>
        </w:rPr>
        <w:t xml:space="preserve"> Active Ownership Team.</w:t>
      </w:r>
    </w:p>
    <w:p w:rsidR="008D7C94" w:rsidP="0026739E">
      <w:pPr>
        <w:pStyle w:val="treb"/>
        <w:numPr>
          <w:ilvl w:val="0"/>
          <w:numId w:val="0"/>
        </w:numPr>
        <w:spacing w:after="0"/>
        <w:rPr>
          <w:rFonts w:ascii="Arial" w:hAnsi="Arial"/>
          <w:b w:val="0"/>
          <w:bCs w:val="0"/>
        </w:rPr>
      </w:pPr>
    </w:p>
    <w:p w:rsidR="00801269" w:rsidRPr="00EF1193" w:rsidP="00801269">
      <w:pPr>
        <w:autoSpaceDE w:val="0"/>
        <w:autoSpaceDN w:val="0"/>
        <w:adjustRightInd w:val="0"/>
        <w:spacing w:after="0" w:line="241" w:lineRule="atLeast"/>
        <w:rPr>
          <w:rFonts w:ascii="Arial" w:hAnsi="Arial" w:cs="Arial"/>
        </w:rPr>
      </w:pPr>
      <w:r w:rsidRPr="00EF1193">
        <w:rPr>
          <w:rFonts w:ascii="Arial" w:hAnsi="Arial" w:cs="Arial"/>
        </w:rPr>
        <w:t>Case study – Digital Innovation in Healthcare</w:t>
      </w:r>
    </w:p>
    <w:p w:rsidR="00801269" w:rsidRPr="00150567" w:rsidP="00801269">
      <w:pPr>
        <w:pStyle w:val="treb"/>
        <w:numPr>
          <w:ilvl w:val="0"/>
          <w:numId w:val="0"/>
        </w:numPr>
        <w:spacing w:after="0"/>
        <w:rPr>
          <w:rFonts w:ascii="Arial" w:hAnsi="Arial"/>
          <w:b w:val="0"/>
          <w:highlight w:val="yellow"/>
        </w:rPr>
      </w:pPr>
    </w:p>
    <w:p w:rsidR="00EF1193" w:rsidRPr="00EF1193" w:rsidP="00F47CE8">
      <w:pPr>
        <w:autoSpaceDE w:val="0"/>
        <w:autoSpaceDN w:val="0"/>
        <w:adjustRightInd w:val="0"/>
        <w:spacing w:after="0" w:line="240" w:lineRule="auto"/>
        <w:rPr>
          <w:rFonts w:ascii="Arial" w:hAnsi="Arial" w:cs="Arial"/>
        </w:rPr>
      </w:pPr>
      <w:r w:rsidRPr="00EF1193">
        <w:rPr>
          <w:rFonts w:ascii="Arial" w:hAnsi="Arial" w:cs="Arial"/>
        </w:rPr>
        <w:t>Robeco</w:t>
      </w:r>
      <w:r w:rsidRPr="00EF1193">
        <w:rPr>
          <w:rFonts w:ascii="Arial" w:hAnsi="Arial" w:cs="Arial"/>
        </w:rPr>
        <w:t xml:space="preserve"> commenced the Digital Innovation in Healthcare theme in 2019. At its launch, healthcare </w:t>
      </w:r>
      <w:r>
        <w:rPr>
          <w:rFonts w:ascii="Arial" w:hAnsi="Arial" w:cs="Arial"/>
        </w:rPr>
        <w:t xml:space="preserve">was </w:t>
      </w:r>
      <w:r w:rsidRPr="00EF1193">
        <w:rPr>
          <w:rFonts w:ascii="Arial" w:hAnsi="Arial" w:cs="Arial"/>
        </w:rPr>
        <w:t xml:space="preserve">considered under pressure. Demographic and socio-economic trends, in combination with competitive pressures such as increased regulation and pricing, were acting to erode healthy operating margins. </w:t>
      </w:r>
      <w:r w:rsidRPr="00EF1193">
        <w:rPr>
          <w:rFonts w:ascii="Arial" w:hAnsi="Arial" w:cs="Arial"/>
        </w:rPr>
        <w:t>Robeco</w:t>
      </w:r>
      <w:r w:rsidRPr="00EF1193">
        <w:rPr>
          <w:rFonts w:ascii="Arial" w:hAnsi="Arial" w:cs="Arial"/>
        </w:rPr>
        <w:t xml:space="preserve"> believe digital innovation will not only protect margins through increased productivity, but result in better health outcomes at lower cost, contributing to Sustainable Development Goal 3 (good health and well-being). </w:t>
      </w:r>
    </w:p>
    <w:p w:rsidR="00EF1193" w:rsidRPr="00EF1193" w:rsidP="00F47CE8">
      <w:pPr>
        <w:autoSpaceDE w:val="0"/>
        <w:autoSpaceDN w:val="0"/>
        <w:adjustRightInd w:val="0"/>
        <w:spacing w:after="0" w:line="240" w:lineRule="auto"/>
        <w:rPr>
          <w:rFonts w:ascii="Arial" w:hAnsi="Arial" w:cs="Arial"/>
        </w:rPr>
      </w:pPr>
    </w:p>
    <w:p w:rsidR="00EF1193" w:rsidRPr="00572A98" w:rsidP="00F47CE8">
      <w:pPr>
        <w:autoSpaceDE w:val="0"/>
        <w:autoSpaceDN w:val="0"/>
        <w:adjustRightInd w:val="0"/>
        <w:spacing w:after="0" w:line="240" w:lineRule="auto"/>
        <w:rPr>
          <w:rFonts w:ascii="Arial" w:hAnsi="Arial" w:cs="Arial"/>
        </w:rPr>
      </w:pPr>
      <w:r w:rsidRPr="00EF1193">
        <w:rPr>
          <w:rFonts w:ascii="Arial" w:hAnsi="Arial" w:cs="Arial"/>
        </w:rPr>
        <w:t xml:space="preserve">One example is telehealth, an umbrella term referring to remote healthcare. </w:t>
      </w:r>
      <w:r>
        <w:rPr>
          <w:rFonts w:ascii="Arial" w:hAnsi="Arial" w:cs="Arial"/>
        </w:rPr>
        <w:t xml:space="preserve">By </w:t>
      </w:r>
      <w:r w:rsidRPr="00EF1193">
        <w:rPr>
          <w:rFonts w:ascii="Arial" w:hAnsi="Arial" w:cs="Arial"/>
        </w:rPr>
        <w:t xml:space="preserve">streamlining </w:t>
      </w:r>
      <w:r>
        <w:rPr>
          <w:rFonts w:ascii="Arial" w:hAnsi="Arial" w:cs="Arial"/>
        </w:rPr>
        <w:t>the</w:t>
      </w:r>
      <w:r w:rsidRPr="00EF1193">
        <w:rPr>
          <w:rFonts w:ascii="Arial" w:hAnsi="Arial" w:cs="Arial"/>
        </w:rPr>
        <w:t xml:space="preserve"> health care system</w:t>
      </w:r>
      <w:r>
        <w:rPr>
          <w:rFonts w:ascii="Arial" w:hAnsi="Arial" w:cs="Arial"/>
        </w:rPr>
        <w:t>,</w:t>
      </w:r>
      <w:r w:rsidRPr="00EF1193">
        <w:rPr>
          <w:rFonts w:ascii="Arial" w:hAnsi="Arial" w:cs="Arial"/>
        </w:rPr>
        <w:t xml:space="preserve"> patients with low-complexity issues can be treated outside of health care facilities, </w:t>
      </w:r>
      <w:r>
        <w:rPr>
          <w:rFonts w:ascii="Arial" w:hAnsi="Arial" w:cs="Arial"/>
        </w:rPr>
        <w:t>improving the</w:t>
      </w:r>
      <w:r w:rsidRPr="00EF1193">
        <w:rPr>
          <w:rFonts w:ascii="Arial" w:hAnsi="Arial" w:cs="Arial"/>
        </w:rPr>
        <w:t xml:space="preserve"> capacity to treat patients with acute medical needs. </w:t>
      </w:r>
      <w:r>
        <w:rPr>
          <w:rFonts w:ascii="Arial" w:hAnsi="Arial" w:cs="Arial"/>
        </w:rPr>
        <w:t>Telehealth</w:t>
      </w:r>
      <w:r w:rsidRPr="00EF1193">
        <w:rPr>
          <w:rFonts w:ascii="Arial" w:hAnsi="Arial" w:cs="Arial"/>
        </w:rPr>
        <w:t xml:space="preserve"> can </w:t>
      </w:r>
      <w:r>
        <w:rPr>
          <w:rFonts w:ascii="Arial" w:hAnsi="Arial" w:cs="Arial"/>
        </w:rPr>
        <w:t xml:space="preserve">also </w:t>
      </w:r>
      <w:r w:rsidRPr="00EF1193">
        <w:rPr>
          <w:rFonts w:ascii="Arial" w:hAnsi="Arial" w:cs="Arial"/>
        </w:rPr>
        <w:t xml:space="preserve">enhance access by reducing barriers to treatment, for example time or distance. </w:t>
      </w:r>
      <w:r>
        <w:rPr>
          <w:rFonts w:ascii="Arial" w:hAnsi="Arial" w:cs="Arial"/>
        </w:rPr>
        <w:t>H</w:t>
      </w:r>
      <w:r w:rsidRPr="00EF1193">
        <w:rPr>
          <w:rFonts w:ascii="Arial" w:hAnsi="Arial" w:cs="Arial"/>
        </w:rPr>
        <w:t xml:space="preserve">ealthcare has been an industry traditionally slow to adopt technology for a number of complicated reasons. </w:t>
      </w:r>
      <w:r>
        <w:rPr>
          <w:rFonts w:ascii="Arial" w:hAnsi="Arial" w:cs="Arial"/>
        </w:rPr>
        <w:t>D</w:t>
      </w:r>
      <w:r w:rsidRPr="00EF1193">
        <w:rPr>
          <w:rFonts w:ascii="Arial" w:hAnsi="Arial" w:cs="Arial"/>
        </w:rPr>
        <w:t>ue to the interconnected nature of treatment</w:t>
      </w:r>
      <w:r>
        <w:rPr>
          <w:rFonts w:ascii="Arial" w:hAnsi="Arial" w:cs="Arial"/>
        </w:rPr>
        <w:t>,</w:t>
      </w:r>
      <w:r w:rsidRPr="00EF1193">
        <w:rPr>
          <w:rFonts w:ascii="Arial" w:hAnsi="Arial" w:cs="Arial"/>
        </w:rPr>
        <w:t xml:space="preserve"> </w:t>
      </w:r>
      <w:r>
        <w:rPr>
          <w:rFonts w:ascii="Arial" w:hAnsi="Arial" w:cs="Arial"/>
        </w:rPr>
        <w:t>c</w:t>
      </w:r>
      <w:r w:rsidRPr="00EF1193">
        <w:rPr>
          <w:rFonts w:ascii="Arial" w:hAnsi="Arial" w:cs="Arial"/>
        </w:rPr>
        <w:t xml:space="preserve">ollaboration is </w:t>
      </w:r>
      <w:r w:rsidRPr="00572A98">
        <w:rPr>
          <w:rFonts w:ascii="Arial" w:hAnsi="Arial" w:cs="Arial"/>
        </w:rPr>
        <w:t xml:space="preserve">required between multiple stakeholders </w:t>
      </w:r>
      <w:r>
        <w:rPr>
          <w:rFonts w:ascii="Arial" w:hAnsi="Arial" w:cs="Arial"/>
        </w:rPr>
        <w:t xml:space="preserve">- </w:t>
      </w:r>
      <w:r w:rsidRPr="00572A98">
        <w:rPr>
          <w:rFonts w:ascii="Arial" w:hAnsi="Arial" w:cs="Arial"/>
        </w:rPr>
        <w:t xml:space="preserve">governments, pharmaceuticals, healthcare providers, insurers, and patients </w:t>
      </w:r>
      <w:r>
        <w:rPr>
          <w:rFonts w:ascii="Arial" w:hAnsi="Arial" w:cs="Arial"/>
        </w:rPr>
        <w:t xml:space="preserve">- </w:t>
      </w:r>
      <w:r w:rsidRPr="00572A98">
        <w:rPr>
          <w:rFonts w:ascii="Arial" w:hAnsi="Arial" w:cs="Arial"/>
        </w:rPr>
        <w:t xml:space="preserve">to make progress and gain benefits. </w:t>
      </w:r>
    </w:p>
    <w:p w:rsidR="00EF1193" w:rsidRPr="00572A98" w:rsidP="00F47CE8">
      <w:pPr>
        <w:autoSpaceDE w:val="0"/>
        <w:autoSpaceDN w:val="0"/>
        <w:adjustRightInd w:val="0"/>
        <w:spacing w:after="0" w:line="240" w:lineRule="auto"/>
        <w:rPr>
          <w:rFonts w:ascii="Arial" w:hAnsi="Arial" w:cs="Arial"/>
        </w:rPr>
      </w:pPr>
    </w:p>
    <w:p w:rsidR="00572A98" w:rsidRPr="00572A98" w:rsidP="00572A98">
      <w:pPr>
        <w:autoSpaceDE w:val="0"/>
        <w:autoSpaceDN w:val="0"/>
        <w:adjustRightInd w:val="0"/>
        <w:spacing w:after="0" w:line="240" w:lineRule="auto"/>
        <w:rPr>
          <w:rFonts w:ascii="Arial" w:hAnsi="Arial" w:cs="Arial"/>
        </w:rPr>
      </w:pPr>
      <w:r w:rsidRPr="00572A98">
        <w:rPr>
          <w:rFonts w:ascii="Arial" w:hAnsi="Arial" w:cs="Arial"/>
        </w:rPr>
        <w:t>The main objective of the engagement is to explore how digitalisation of the health care sector can reduce pressure on health care. The companies under engagement for LPPI are HCA Healthcare Inc and Anthem Inc.</w:t>
      </w:r>
    </w:p>
    <w:p w:rsidR="00572A98" w:rsidRPr="00572A98" w:rsidP="00F47CE8">
      <w:pPr>
        <w:autoSpaceDE w:val="0"/>
        <w:autoSpaceDN w:val="0"/>
        <w:adjustRightInd w:val="0"/>
        <w:spacing w:after="0" w:line="240" w:lineRule="auto"/>
        <w:rPr>
          <w:rFonts w:ascii="Arial" w:hAnsi="Arial" w:cs="Arial"/>
        </w:rPr>
      </w:pPr>
    </w:p>
    <w:p w:rsidR="00572A98" w:rsidRPr="00572A98" w:rsidP="00F47CE8">
      <w:pPr>
        <w:autoSpaceDE w:val="0"/>
        <w:autoSpaceDN w:val="0"/>
        <w:adjustRightInd w:val="0"/>
        <w:spacing w:after="0" w:line="240" w:lineRule="auto"/>
        <w:rPr>
          <w:rFonts w:ascii="Arial" w:hAnsi="Arial" w:cs="Arial"/>
        </w:rPr>
      </w:pPr>
      <w:r>
        <w:rPr>
          <w:rFonts w:ascii="Arial" w:hAnsi="Arial" w:cs="Arial"/>
        </w:rPr>
        <w:t>T</w:t>
      </w:r>
      <w:r w:rsidRPr="00572A98">
        <w:rPr>
          <w:rFonts w:ascii="Arial" w:hAnsi="Arial" w:cs="Arial"/>
        </w:rPr>
        <w:t xml:space="preserve">he </w:t>
      </w:r>
      <w:r>
        <w:rPr>
          <w:rFonts w:ascii="Arial" w:hAnsi="Arial" w:cs="Arial"/>
        </w:rPr>
        <w:t xml:space="preserve">engagement </w:t>
      </w:r>
      <w:r w:rsidRPr="00572A98">
        <w:rPr>
          <w:rFonts w:ascii="Arial" w:hAnsi="Arial" w:cs="Arial"/>
        </w:rPr>
        <w:t xml:space="preserve">is </w:t>
      </w:r>
      <w:r>
        <w:rPr>
          <w:rFonts w:ascii="Arial" w:hAnsi="Arial" w:cs="Arial"/>
        </w:rPr>
        <w:t xml:space="preserve">focussed on the </w:t>
      </w:r>
      <w:r w:rsidRPr="00572A98">
        <w:rPr>
          <w:rFonts w:ascii="Arial" w:hAnsi="Arial" w:cs="Arial"/>
        </w:rPr>
        <w:t>foundations and capabilities for digital innovation a</w:t>
      </w:r>
      <w:r>
        <w:rPr>
          <w:rFonts w:ascii="Arial" w:hAnsi="Arial" w:cs="Arial"/>
        </w:rPr>
        <w:t xml:space="preserve">s a route to </w:t>
      </w:r>
      <w:r w:rsidRPr="00572A98">
        <w:rPr>
          <w:rFonts w:ascii="Arial" w:hAnsi="Arial" w:cs="Arial"/>
        </w:rPr>
        <w:t>adopt</w:t>
      </w:r>
      <w:r>
        <w:rPr>
          <w:rFonts w:ascii="Arial" w:hAnsi="Arial" w:cs="Arial"/>
        </w:rPr>
        <w:t>able</w:t>
      </w:r>
      <w:r w:rsidRPr="00572A98">
        <w:rPr>
          <w:rFonts w:ascii="Arial" w:hAnsi="Arial" w:cs="Arial"/>
        </w:rPr>
        <w:t xml:space="preserve"> solutions. </w:t>
      </w:r>
    </w:p>
    <w:p w:rsidR="00572A98" w:rsidRPr="00572A98" w:rsidP="00F47CE8">
      <w:pPr>
        <w:autoSpaceDE w:val="0"/>
        <w:autoSpaceDN w:val="0"/>
        <w:adjustRightInd w:val="0"/>
        <w:spacing w:after="0" w:line="240" w:lineRule="auto"/>
        <w:rPr>
          <w:rFonts w:ascii="Arial" w:hAnsi="Arial" w:cs="Arial"/>
        </w:rPr>
      </w:pPr>
      <w:r w:rsidRPr="00572A98">
        <w:rPr>
          <w:rFonts w:ascii="Arial" w:hAnsi="Arial" w:cs="Arial"/>
        </w:rPr>
        <w:t>The areas of focus are:</w:t>
      </w:r>
    </w:p>
    <w:p w:rsidR="00572A98" w:rsidRPr="004D5F88" w:rsidP="004D5F88">
      <w:pPr>
        <w:pStyle w:val="ListParagraph"/>
        <w:numPr>
          <w:ilvl w:val="0"/>
          <w:numId w:val="3"/>
        </w:numPr>
        <w:autoSpaceDE w:val="0"/>
        <w:autoSpaceDN w:val="0"/>
        <w:adjustRightInd w:val="0"/>
        <w:spacing w:after="0" w:line="240" w:lineRule="auto"/>
        <w:ind w:left="284"/>
        <w:rPr>
          <w:rFonts w:ascii="Arial" w:hAnsi="Arial" w:cs="Arial"/>
        </w:rPr>
      </w:pPr>
      <w:r w:rsidRPr="004D5F88">
        <w:rPr>
          <w:rFonts w:ascii="Arial" w:hAnsi="Arial" w:cs="Arial"/>
        </w:rPr>
        <w:t xml:space="preserve">Digital strategy: encouraging digital expertise across all levels of the organisation (including the Board) to unlock opportunities from data. </w:t>
      </w:r>
    </w:p>
    <w:p w:rsidR="00572A98" w:rsidRPr="004D5F88" w:rsidP="004D5F88">
      <w:pPr>
        <w:pStyle w:val="ListParagraph"/>
        <w:numPr>
          <w:ilvl w:val="0"/>
          <w:numId w:val="3"/>
        </w:numPr>
        <w:autoSpaceDE w:val="0"/>
        <w:autoSpaceDN w:val="0"/>
        <w:adjustRightInd w:val="0"/>
        <w:spacing w:after="0" w:line="240" w:lineRule="auto"/>
        <w:ind w:left="284"/>
        <w:rPr>
          <w:rFonts w:ascii="Arial" w:hAnsi="Arial" w:cs="Arial"/>
        </w:rPr>
      </w:pPr>
      <w:r w:rsidRPr="004D5F88">
        <w:rPr>
          <w:rFonts w:ascii="Arial" w:hAnsi="Arial" w:cs="Arial"/>
        </w:rPr>
        <w:t xml:space="preserve">Sectoral collaboration: generation of data standards which can be used to collaborate and innovate across firms, while remaining cautious and responsive to patient privacy concerns. </w:t>
      </w:r>
    </w:p>
    <w:p w:rsidR="00572A98" w:rsidRPr="004D5F88" w:rsidP="004D5F88">
      <w:pPr>
        <w:pStyle w:val="ListParagraph"/>
        <w:numPr>
          <w:ilvl w:val="0"/>
          <w:numId w:val="3"/>
        </w:numPr>
        <w:autoSpaceDE w:val="0"/>
        <w:autoSpaceDN w:val="0"/>
        <w:adjustRightInd w:val="0"/>
        <w:spacing w:after="0" w:line="240" w:lineRule="auto"/>
        <w:ind w:left="284"/>
        <w:rPr>
          <w:rFonts w:ascii="Arial" w:hAnsi="Arial" w:cs="Arial"/>
        </w:rPr>
      </w:pPr>
      <w:r w:rsidRPr="004D5F88">
        <w:rPr>
          <w:rFonts w:ascii="Arial" w:hAnsi="Arial" w:cs="Arial"/>
        </w:rPr>
        <w:t>Innovation management: pushing for the successful use and integration of new digital technologies with</w:t>
      </w:r>
      <w:r>
        <w:rPr>
          <w:rFonts w:ascii="Arial" w:hAnsi="Arial" w:cs="Arial"/>
        </w:rPr>
        <w:t>in</w:t>
      </w:r>
      <w:r w:rsidRPr="004D5F88">
        <w:rPr>
          <w:rFonts w:ascii="Arial" w:hAnsi="Arial" w:cs="Arial"/>
        </w:rPr>
        <w:t xml:space="preserve"> R&amp;D. </w:t>
      </w:r>
    </w:p>
    <w:p w:rsidR="00572A98" w:rsidRPr="004D5F88" w:rsidP="004D5F88">
      <w:pPr>
        <w:pStyle w:val="ListParagraph"/>
        <w:numPr>
          <w:ilvl w:val="0"/>
          <w:numId w:val="3"/>
        </w:numPr>
        <w:autoSpaceDE w:val="0"/>
        <w:autoSpaceDN w:val="0"/>
        <w:adjustRightInd w:val="0"/>
        <w:spacing w:after="0" w:line="240" w:lineRule="auto"/>
        <w:ind w:left="284"/>
        <w:rPr>
          <w:rFonts w:ascii="Arial" w:hAnsi="Arial" w:cs="Arial"/>
        </w:rPr>
      </w:pPr>
      <w:r w:rsidRPr="004D5F88">
        <w:rPr>
          <w:rFonts w:ascii="Arial" w:hAnsi="Arial" w:cs="Arial"/>
        </w:rPr>
        <w:t xml:space="preserve">Sales and marketing innovation: modernising sales and marketing to save costs and the enhancing of pricing discipline through reliable data. </w:t>
      </w:r>
    </w:p>
    <w:p w:rsidR="00572A98" w:rsidRPr="004D5F88" w:rsidP="004D5F88">
      <w:pPr>
        <w:pStyle w:val="ListParagraph"/>
        <w:numPr>
          <w:ilvl w:val="0"/>
          <w:numId w:val="3"/>
        </w:numPr>
        <w:autoSpaceDE w:val="0"/>
        <w:autoSpaceDN w:val="0"/>
        <w:adjustRightInd w:val="0"/>
        <w:spacing w:after="0" w:line="240" w:lineRule="auto"/>
        <w:ind w:left="284"/>
        <w:rPr>
          <w:rFonts w:ascii="Arial" w:hAnsi="Arial" w:cs="Arial"/>
        </w:rPr>
      </w:pPr>
      <w:r w:rsidRPr="004D5F88">
        <w:rPr>
          <w:rFonts w:ascii="Arial" w:hAnsi="Arial" w:cs="Arial"/>
        </w:rPr>
        <w:t xml:space="preserve">Cybersecurity: improving risk management for all actors in the health care sector, </w:t>
      </w:r>
      <w:r>
        <w:rPr>
          <w:rFonts w:ascii="Arial" w:hAnsi="Arial" w:cs="Arial"/>
        </w:rPr>
        <w:t xml:space="preserve">reflecting </w:t>
      </w:r>
      <w:r w:rsidRPr="004D5F88">
        <w:rPr>
          <w:rFonts w:ascii="Arial" w:hAnsi="Arial" w:cs="Arial"/>
        </w:rPr>
        <w:t xml:space="preserve">patient trust is critical </w:t>
      </w:r>
      <w:r>
        <w:rPr>
          <w:rFonts w:ascii="Arial" w:hAnsi="Arial" w:cs="Arial"/>
        </w:rPr>
        <w:t>to</w:t>
      </w:r>
      <w:r w:rsidRPr="004D5F88">
        <w:rPr>
          <w:rFonts w:ascii="Arial" w:hAnsi="Arial" w:cs="Arial"/>
        </w:rPr>
        <w:t xml:space="preserve"> the success of digital strategies.</w:t>
      </w:r>
    </w:p>
    <w:p w:rsidR="00572A98" w:rsidRPr="00572A98" w:rsidP="00F47CE8">
      <w:pPr>
        <w:autoSpaceDE w:val="0"/>
        <w:autoSpaceDN w:val="0"/>
        <w:adjustRightInd w:val="0"/>
        <w:spacing w:after="0" w:line="240" w:lineRule="auto"/>
        <w:rPr>
          <w:rFonts w:ascii="Arial" w:hAnsi="Arial" w:cs="Arial"/>
        </w:rPr>
      </w:pPr>
    </w:p>
    <w:p w:rsidR="00572A98" w:rsidRPr="00572A98" w:rsidP="00F47CE8">
      <w:pPr>
        <w:autoSpaceDE w:val="0"/>
        <w:autoSpaceDN w:val="0"/>
        <w:adjustRightInd w:val="0"/>
        <w:spacing w:after="0" w:line="240" w:lineRule="auto"/>
        <w:rPr>
          <w:rFonts w:ascii="Arial" w:hAnsi="Arial" w:cs="Arial"/>
        </w:rPr>
      </w:pPr>
      <w:r w:rsidRPr="00572A98">
        <w:rPr>
          <w:rFonts w:ascii="Arial" w:hAnsi="Arial" w:cs="Arial"/>
        </w:rPr>
        <w:t xml:space="preserve">Progress so far for LPPI’s companies under engagement is neutral to positive. </w:t>
      </w:r>
    </w:p>
    <w:p w:rsidR="00572A98" w:rsidRPr="00572A98" w:rsidP="00F47CE8">
      <w:pPr>
        <w:autoSpaceDE w:val="0"/>
        <w:autoSpaceDN w:val="0"/>
        <w:adjustRightInd w:val="0"/>
        <w:spacing w:after="0" w:line="240" w:lineRule="auto"/>
        <w:rPr>
          <w:rFonts w:ascii="Arial" w:hAnsi="Arial" w:cs="Arial"/>
        </w:rPr>
      </w:pPr>
      <w:r>
        <w:rPr>
          <w:rFonts w:ascii="Arial" w:hAnsi="Arial" w:cs="Arial"/>
        </w:rPr>
        <w:t xml:space="preserve">At HCA, </w:t>
      </w:r>
      <w:r w:rsidRPr="00572A98">
        <w:rPr>
          <w:rFonts w:ascii="Arial" w:hAnsi="Arial" w:cs="Arial"/>
        </w:rPr>
        <w:t>Robeco</w:t>
      </w:r>
      <w:r w:rsidRPr="00572A98">
        <w:rPr>
          <w:rFonts w:ascii="Arial" w:hAnsi="Arial" w:cs="Arial"/>
        </w:rPr>
        <w:t xml:space="preserve"> held a conference call with the CFO which </w:t>
      </w:r>
      <w:r>
        <w:rPr>
          <w:rFonts w:ascii="Arial" w:hAnsi="Arial" w:cs="Arial"/>
        </w:rPr>
        <w:t>produced</w:t>
      </w:r>
      <w:r w:rsidRPr="00572A98">
        <w:rPr>
          <w:rFonts w:ascii="Arial" w:hAnsi="Arial" w:cs="Arial"/>
        </w:rPr>
        <w:t xml:space="preserve"> a positive view of the firm’s digital strategy</w:t>
      </w:r>
      <w:r>
        <w:rPr>
          <w:rFonts w:ascii="Arial" w:hAnsi="Arial" w:cs="Arial"/>
        </w:rPr>
        <w:t>, noting</w:t>
      </w:r>
      <w:r w:rsidRPr="00572A98">
        <w:rPr>
          <w:rFonts w:ascii="Arial" w:hAnsi="Arial" w:cs="Arial"/>
        </w:rPr>
        <w:t xml:space="preserve"> board oversight of cybersecurity and </w:t>
      </w:r>
      <w:r>
        <w:rPr>
          <w:rFonts w:ascii="Arial" w:hAnsi="Arial" w:cs="Arial"/>
        </w:rPr>
        <w:t xml:space="preserve">significant </w:t>
      </w:r>
      <w:r w:rsidRPr="00572A98">
        <w:rPr>
          <w:rFonts w:ascii="Arial" w:hAnsi="Arial" w:cs="Arial"/>
        </w:rPr>
        <w:t xml:space="preserve">investment </w:t>
      </w:r>
      <w:r>
        <w:rPr>
          <w:rFonts w:ascii="Arial" w:hAnsi="Arial" w:cs="Arial"/>
        </w:rPr>
        <w:t>in</w:t>
      </w:r>
      <w:r w:rsidRPr="00572A98">
        <w:rPr>
          <w:rFonts w:ascii="Arial" w:hAnsi="Arial" w:cs="Arial"/>
        </w:rPr>
        <w:t xml:space="preserve"> it, </w:t>
      </w:r>
      <w:r>
        <w:rPr>
          <w:rFonts w:ascii="Arial" w:hAnsi="Arial" w:cs="Arial"/>
        </w:rPr>
        <w:t xml:space="preserve">plus </w:t>
      </w:r>
      <w:r w:rsidRPr="00572A98">
        <w:rPr>
          <w:rFonts w:ascii="Arial" w:hAnsi="Arial" w:cs="Arial"/>
        </w:rPr>
        <w:t>success</w:t>
      </w:r>
      <w:r>
        <w:rPr>
          <w:rFonts w:ascii="Arial" w:hAnsi="Arial" w:cs="Arial"/>
        </w:rPr>
        <w:t>ful</w:t>
      </w:r>
      <w:r w:rsidRPr="00572A98">
        <w:rPr>
          <w:rFonts w:ascii="Arial" w:hAnsi="Arial" w:cs="Arial"/>
        </w:rPr>
        <w:t xml:space="preserve"> efforts to streamline workflows through tech, and explor</w:t>
      </w:r>
      <w:r>
        <w:rPr>
          <w:rFonts w:ascii="Arial" w:hAnsi="Arial" w:cs="Arial"/>
        </w:rPr>
        <w:t>e</w:t>
      </w:r>
      <w:r w:rsidRPr="00572A98">
        <w:rPr>
          <w:rFonts w:ascii="Arial" w:hAnsi="Arial" w:cs="Arial"/>
        </w:rPr>
        <w:t xml:space="preserve"> partnerships with tech companies to further innovation. </w:t>
      </w:r>
    </w:p>
    <w:p w:rsidR="00572A98" w:rsidRPr="00572A98" w:rsidP="00F47CE8">
      <w:pPr>
        <w:autoSpaceDE w:val="0"/>
        <w:autoSpaceDN w:val="0"/>
        <w:adjustRightInd w:val="0"/>
        <w:spacing w:after="0" w:line="240" w:lineRule="auto"/>
        <w:rPr>
          <w:rFonts w:ascii="Arial" w:hAnsi="Arial" w:cs="Arial"/>
        </w:rPr>
      </w:pPr>
    </w:p>
    <w:p w:rsidR="00807317" w:rsidRPr="00572A98" w:rsidP="00572A98">
      <w:pPr>
        <w:autoSpaceDE w:val="0"/>
        <w:autoSpaceDN w:val="0"/>
        <w:adjustRightInd w:val="0"/>
        <w:spacing w:after="0" w:line="240" w:lineRule="auto"/>
        <w:rPr>
          <w:rFonts w:ascii="Arial" w:hAnsi="Arial" w:cs="Arial"/>
          <w:bCs/>
          <w:color w:val="000000" w:themeColor="text1"/>
        </w:rPr>
      </w:pPr>
      <w:r w:rsidRPr="00572A98">
        <w:rPr>
          <w:rFonts w:ascii="Arial" w:hAnsi="Arial" w:cs="Arial"/>
        </w:rPr>
        <w:t xml:space="preserve">At Anthem, </w:t>
      </w:r>
      <w:r w:rsidRPr="00572A98">
        <w:rPr>
          <w:rFonts w:ascii="Arial" w:hAnsi="Arial" w:cs="Arial"/>
        </w:rPr>
        <w:t>Robeco</w:t>
      </w:r>
      <w:r w:rsidRPr="00572A98">
        <w:rPr>
          <w:rFonts w:ascii="Arial" w:hAnsi="Arial" w:cs="Arial"/>
        </w:rPr>
        <w:t xml:space="preserve"> has gained comfort </w:t>
      </w:r>
      <w:r>
        <w:rPr>
          <w:rFonts w:ascii="Arial" w:hAnsi="Arial" w:cs="Arial"/>
        </w:rPr>
        <w:t>around</w:t>
      </w:r>
      <w:r w:rsidRPr="00572A98">
        <w:rPr>
          <w:rFonts w:ascii="Arial" w:hAnsi="Arial" w:cs="Arial"/>
        </w:rPr>
        <w:t xml:space="preserve"> the</w:t>
      </w:r>
      <w:r>
        <w:rPr>
          <w:rFonts w:ascii="Arial" w:hAnsi="Arial" w:cs="Arial"/>
        </w:rPr>
        <w:t xml:space="preserve"> approach to </w:t>
      </w:r>
      <w:r w:rsidRPr="00572A98">
        <w:rPr>
          <w:rFonts w:ascii="Arial" w:hAnsi="Arial" w:cs="Arial"/>
        </w:rPr>
        <w:t>cybersecurity (</w:t>
      </w:r>
      <w:r>
        <w:rPr>
          <w:rFonts w:ascii="Arial" w:hAnsi="Arial" w:cs="Arial"/>
        </w:rPr>
        <w:t>following</w:t>
      </w:r>
      <w:r w:rsidRPr="00572A98">
        <w:rPr>
          <w:rFonts w:ascii="Arial" w:hAnsi="Arial" w:cs="Arial"/>
        </w:rPr>
        <w:t xml:space="preserve"> improvements driven by reflections on a 2015 hack) and learnt more about </w:t>
      </w:r>
      <w:r>
        <w:rPr>
          <w:rFonts w:ascii="Arial" w:hAnsi="Arial" w:cs="Arial"/>
        </w:rPr>
        <w:t>the</w:t>
      </w:r>
      <w:r w:rsidRPr="00572A98">
        <w:rPr>
          <w:rFonts w:ascii="Arial" w:hAnsi="Arial" w:cs="Arial"/>
        </w:rPr>
        <w:t xml:space="preserve"> digital strategy, including targets to eliminate paper applications and invest in capacity to insource </w:t>
      </w:r>
      <w:r w:rsidRPr="00572A98">
        <w:rPr>
          <w:rFonts w:ascii="Arial" w:hAnsi="Arial" w:cs="Arial"/>
        </w:rPr>
        <w:t xml:space="preserve">data functions to improve quality. As this theme enters its second half, </w:t>
      </w:r>
      <w:r w:rsidRPr="00572A98">
        <w:rPr>
          <w:rFonts w:ascii="Arial" w:hAnsi="Arial" w:cs="Arial"/>
        </w:rPr>
        <w:t>Robeco</w:t>
      </w:r>
      <w:r w:rsidRPr="00572A98">
        <w:rPr>
          <w:rFonts w:ascii="Arial" w:hAnsi="Arial" w:cs="Arial"/>
        </w:rPr>
        <w:t xml:space="preserve"> note </w:t>
      </w:r>
      <w:r>
        <w:rPr>
          <w:rFonts w:ascii="Arial" w:hAnsi="Arial" w:cs="Arial"/>
        </w:rPr>
        <w:t xml:space="preserve">an </w:t>
      </w:r>
      <w:r w:rsidRPr="00572A98">
        <w:rPr>
          <w:rFonts w:ascii="Arial" w:hAnsi="Arial" w:cs="Arial"/>
        </w:rPr>
        <w:t>expect</w:t>
      </w:r>
      <w:r>
        <w:rPr>
          <w:rFonts w:ascii="Arial" w:hAnsi="Arial" w:cs="Arial"/>
        </w:rPr>
        <w:t>ation of</w:t>
      </w:r>
      <w:r w:rsidRPr="00572A98">
        <w:rPr>
          <w:rFonts w:ascii="Arial" w:hAnsi="Arial" w:cs="Arial"/>
        </w:rPr>
        <w:t xml:space="preserve"> </w:t>
      </w:r>
      <w:r>
        <w:rPr>
          <w:rFonts w:ascii="Arial" w:hAnsi="Arial" w:cs="Arial"/>
        </w:rPr>
        <w:t>further positive</w:t>
      </w:r>
      <w:r w:rsidRPr="00572A98">
        <w:rPr>
          <w:rFonts w:ascii="Arial" w:hAnsi="Arial" w:cs="Arial"/>
        </w:rPr>
        <w:t xml:space="preserve"> outcomes as trust is built </w:t>
      </w:r>
      <w:r>
        <w:rPr>
          <w:rFonts w:ascii="Arial" w:hAnsi="Arial" w:cs="Arial"/>
        </w:rPr>
        <w:t xml:space="preserve">in the dialogue </w:t>
      </w:r>
      <w:r w:rsidRPr="00572A98">
        <w:rPr>
          <w:rFonts w:ascii="Arial" w:hAnsi="Arial" w:cs="Arial"/>
        </w:rPr>
        <w:t xml:space="preserve">between </w:t>
      </w:r>
      <w:r>
        <w:rPr>
          <w:rFonts w:ascii="Arial" w:hAnsi="Arial" w:cs="Arial"/>
        </w:rPr>
        <w:t>parties involved.</w:t>
      </w:r>
    </w:p>
    <w:p w:rsidR="00807317" w:rsidRPr="00410999" w:rsidP="006412FD">
      <w:pPr>
        <w:autoSpaceDE w:val="0"/>
        <w:autoSpaceDN w:val="0"/>
        <w:adjustRightInd w:val="0"/>
        <w:spacing w:after="0"/>
        <w:rPr>
          <w:rFonts w:ascii="Arial" w:hAnsi="Arial" w:cs="Arial"/>
          <w:bCs/>
          <w:color w:val="000000" w:themeColor="text1"/>
        </w:rPr>
      </w:pPr>
    </w:p>
    <w:p w:rsidR="003E2464" w:rsidP="003E2464">
      <w:pPr>
        <w:pStyle w:val="treb"/>
        <w:numPr>
          <w:ilvl w:val="0"/>
          <w:numId w:val="9"/>
        </w:numPr>
        <w:spacing w:after="0"/>
        <w:ind w:hanging="720"/>
        <w:rPr>
          <w:rFonts w:ascii="Arial" w:hAnsi="Arial"/>
          <w:color w:val="54BBAB"/>
        </w:rPr>
      </w:pPr>
      <w:r w:rsidRPr="00A7642D">
        <w:rPr>
          <w:rFonts w:ascii="Arial" w:hAnsi="Arial"/>
          <w:color w:val="54BBAB"/>
        </w:rPr>
        <w:t>Collaborations and Partnerships</w:t>
      </w:r>
    </w:p>
    <w:p w:rsidR="003E2464" w:rsidP="003E2464">
      <w:pPr>
        <w:pStyle w:val="treb"/>
        <w:numPr>
          <w:ilvl w:val="0"/>
          <w:numId w:val="0"/>
        </w:numPr>
        <w:spacing w:after="0"/>
        <w:rPr>
          <w:rFonts w:ascii="Arial" w:hAnsi="Arial"/>
          <w:color w:val="54BBAB"/>
        </w:rPr>
      </w:pPr>
    </w:p>
    <w:p w:rsidR="003E2464" w:rsidRPr="003E2464" w:rsidP="003E2464">
      <w:pPr>
        <w:pStyle w:val="treb"/>
        <w:numPr>
          <w:ilvl w:val="0"/>
          <w:numId w:val="0"/>
        </w:numPr>
        <w:spacing w:after="0"/>
        <w:rPr>
          <w:rFonts w:ascii="Arial" w:hAnsi="Arial"/>
          <w:color w:val="54BBAB"/>
        </w:rPr>
      </w:pPr>
      <w:r w:rsidRPr="003E2464">
        <w:rPr>
          <w:rFonts w:ascii="Arial" w:hAnsi="Arial"/>
          <w:b w:val="0"/>
          <w:bCs w:val="0"/>
          <w:color w:val="000000" w:themeColor="text1"/>
        </w:rPr>
        <w:t>LPPI participates in a range of investor groups and partnerships which provide opportunities for shared learning and a platform for collective action. The following are headlines for 202</w:t>
      </w:r>
      <w:r>
        <w:rPr>
          <w:rFonts w:ascii="Arial" w:hAnsi="Arial"/>
          <w:b w:val="0"/>
          <w:bCs w:val="0"/>
          <w:color w:val="000000" w:themeColor="text1"/>
        </w:rPr>
        <w:t>1</w:t>
      </w:r>
      <w:r w:rsidRPr="003E2464">
        <w:rPr>
          <w:rFonts w:ascii="Arial" w:hAnsi="Arial"/>
          <w:b w:val="0"/>
          <w:bCs w:val="0"/>
          <w:color w:val="000000" w:themeColor="text1"/>
        </w:rPr>
        <w:t xml:space="preserve"> Q</w:t>
      </w:r>
      <w:r>
        <w:rPr>
          <w:rFonts w:ascii="Arial" w:hAnsi="Arial"/>
          <w:b w:val="0"/>
          <w:bCs w:val="0"/>
          <w:color w:val="000000" w:themeColor="text1"/>
        </w:rPr>
        <w:t>1</w:t>
      </w:r>
      <w:r w:rsidRPr="003E2464">
        <w:rPr>
          <w:rFonts w:ascii="Arial" w:hAnsi="Arial"/>
          <w:b w:val="0"/>
          <w:bCs w:val="0"/>
          <w:color w:val="000000" w:themeColor="text1"/>
        </w:rPr>
        <w:t>.</w:t>
      </w:r>
    </w:p>
    <w:p w:rsidR="003E2464" w:rsidP="00F93E12">
      <w:pPr>
        <w:pStyle w:val="treb"/>
        <w:numPr>
          <w:ilvl w:val="0"/>
          <w:numId w:val="0"/>
        </w:numPr>
        <w:spacing w:after="0"/>
        <w:rPr>
          <w:rFonts w:ascii="Arial" w:hAnsi="Arial"/>
          <w:bCs w:val="0"/>
        </w:rPr>
      </w:pPr>
    </w:p>
    <w:p w:rsidR="00F93E12" w:rsidRPr="00B1205A" w:rsidP="00F93E12">
      <w:pPr>
        <w:pStyle w:val="treb"/>
        <w:numPr>
          <w:ilvl w:val="0"/>
          <w:numId w:val="0"/>
        </w:numPr>
        <w:spacing w:after="0"/>
        <w:rPr>
          <w:rFonts w:ascii="Arial" w:hAnsi="Arial"/>
          <w:bCs w:val="0"/>
        </w:rPr>
      </w:pPr>
      <w:r w:rsidRPr="00B1205A">
        <w:rPr>
          <w:rFonts w:ascii="Arial" w:hAnsi="Arial"/>
          <w:bCs w:val="0"/>
        </w:rPr>
        <w:t xml:space="preserve">Investor </w:t>
      </w:r>
      <w:r>
        <w:rPr>
          <w:rFonts w:ascii="Arial" w:hAnsi="Arial"/>
          <w:bCs w:val="0"/>
        </w:rPr>
        <w:t>E</w:t>
      </w:r>
      <w:r w:rsidRPr="00B1205A">
        <w:rPr>
          <w:rFonts w:ascii="Arial" w:hAnsi="Arial"/>
          <w:bCs w:val="0"/>
        </w:rPr>
        <w:t>xpectations of Banks</w:t>
      </w:r>
    </w:p>
    <w:p w:rsidR="00F93E12" w:rsidP="00F93E12">
      <w:pPr>
        <w:pStyle w:val="treb"/>
        <w:numPr>
          <w:ilvl w:val="0"/>
          <w:numId w:val="0"/>
        </w:numPr>
        <w:spacing w:after="0"/>
        <w:rPr>
          <w:rFonts w:ascii="Arial" w:hAnsi="Arial"/>
          <w:b w:val="0"/>
        </w:rPr>
      </w:pPr>
    </w:p>
    <w:p w:rsidR="00F93E12" w:rsidP="00F93E12">
      <w:pPr>
        <w:pStyle w:val="treb"/>
        <w:numPr>
          <w:ilvl w:val="0"/>
          <w:numId w:val="0"/>
        </w:numPr>
        <w:spacing w:after="0"/>
        <w:rPr>
          <w:rFonts w:ascii="Arial" w:hAnsi="Arial"/>
          <w:b w:val="0"/>
        </w:rPr>
      </w:pPr>
      <w:r>
        <w:rPr>
          <w:rFonts w:ascii="Arial" w:hAnsi="Arial"/>
          <w:b w:val="0"/>
        </w:rPr>
        <w:t xml:space="preserve">LPPI has </w:t>
      </w:r>
      <w:r>
        <w:fldChar w:fldCharType="begin"/>
      </w:r>
      <w:r>
        <w:instrText xml:space="preserve"> HYPERLINK "https://www.localpensionspartnership.org.uk/Investment-management/Responsible-investment/Investor-statements/Details/IIGCC-Net-Zero-Investor-Expectations-of-Banks-" </w:instrText>
      </w:r>
      <w:r>
        <w:fldChar w:fldCharType="separate"/>
      </w:r>
      <w:r w:rsidRPr="005F6D16">
        <w:rPr>
          <w:rStyle w:val="Hyperlink"/>
          <w:rFonts w:ascii="Arial" w:hAnsi="Arial"/>
          <w:b w:val="0"/>
        </w:rPr>
        <w:t>joined other investors</w:t>
      </w:r>
      <w:r>
        <w:fldChar w:fldCharType="end"/>
      </w:r>
      <w:r>
        <w:rPr>
          <w:rFonts w:ascii="Arial" w:hAnsi="Arial"/>
          <w:b w:val="0"/>
        </w:rPr>
        <w:t xml:space="preserve"> (co-ordinated by the IIGCC</w:t>
      </w:r>
      <w:r w:rsidRPr="00B1205A">
        <w:rPr>
          <w:rStyle w:val="FootnoteReference"/>
          <w:rFonts w:ascii="Arial" w:hAnsi="Arial"/>
          <w:b w:val="0"/>
          <w:bCs w:val="0"/>
          <w:color w:val="009999"/>
        </w:rPr>
        <w:t xml:space="preserve"> </w:t>
      </w:r>
      <w:bookmarkStart w:id="8" w:name="_Hlk72856130"/>
      <w:r w:rsidRPr="00B77540">
        <w:rPr>
          <w:rStyle w:val="FootnoteReference"/>
          <w:rFonts w:ascii="Arial" w:hAnsi="Arial"/>
          <w:b w:val="0"/>
          <w:bCs w:val="0"/>
          <w:color w:val="009999"/>
        </w:rPr>
        <w:t>R</w:t>
      </w:r>
      <w:bookmarkEnd w:id="8"/>
      <w:r>
        <w:rPr>
          <w:rFonts w:ascii="Arial" w:hAnsi="Arial"/>
          <w:b w:val="0"/>
        </w:rPr>
        <w:t xml:space="preserve"> ) in publicly supporting a clear </w:t>
      </w:r>
      <w:r w:rsidRPr="005F6D16">
        <w:rPr>
          <w:rFonts w:ascii="Arial" w:hAnsi="Arial"/>
          <w:b w:val="0"/>
        </w:rPr>
        <w:t xml:space="preserve">set of </w:t>
      </w:r>
      <w:r>
        <w:fldChar w:fldCharType="begin"/>
      </w:r>
      <w:r>
        <w:instrText xml:space="preserve"> HYPERLINK "https://www.localpensionspartnership.org.uk/Investment-management/Responsible-investment/Investor-statements/Details/IIGCC-Net-Zero-Investor-Expectations-of-Banks-" </w:instrText>
      </w:r>
      <w:r>
        <w:fldChar w:fldCharType="separate"/>
      </w:r>
      <w:r w:rsidRPr="005F6D16">
        <w:rPr>
          <w:b w:val="0"/>
        </w:rPr>
        <w:t>investor expectations</w:t>
      </w:r>
      <w:r>
        <w:fldChar w:fldCharType="end"/>
      </w:r>
      <w:r w:rsidRPr="005F6D16">
        <w:rPr>
          <w:rFonts w:ascii="Arial" w:hAnsi="Arial"/>
          <w:b w:val="0"/>
        </w:rPr>
        <w:t xml:space="preserve"> for</w:t>
      </w:r>
      <w:r>
        <w:rPr>
          <w:rFonts w:ascii="Arial" w:hAnsi="Arial"/>
          <w:b w:val="0"/>
        </w:rPr>
        <w:t xml:space="preserve"> how the banking sector should demonstrate alignment with the goals of the Paris Agreement. </w:t>
      </w:r>
    </w:p>
    <w:p w:rsidR="00F93E12" w:rsidP="00F93E12">
      <w:pPr>
        <w:pStyle w:val="treb"/>
        <w:numPr>
          <w:ilvl w:val="0"/>
          <w:numId w:val="0"/>
        </w:numPr>
        <w:spacing w:after="0"/>
        <w:rPr>
          <w:rFonts w:ascii="Arial" w:hAnsi="Arial"/>
          <w:b w:val="0"/>
        </w:rPr>
      </w:pPr>
    </w:p>
    <w:p w:rsidR="00F93E12" w:rsidRPr="00603097" w:rsidP="00F93E12">
      <w:pPr>
        <w:pStyle w:val="treb"/>
        <w:numPr>
          <w:ilvl w:val="0"/>
          <w:numId w:val="0"/>
        </w:numPr>
        <w:spacing w:after="0"/>
        <w:rPr>
          <w:rFonts w:ascii="Arial" w:hAnsi="Arial"/>
          <w:b w:val="0"/>
        </w:rPr>
      </w:pPr>
      <w:r>
        <w:rPr>
          <w:rFonts w:ascii="Arial" w:hAnsi="Arial"/>
          <w:b w:val="0"/>
        </w:rPr>
        <w:t xml:space="preserve">The </w:t>
      </w:r>
      <w:r>
        <w:fldChar w:fldCharType="begin"/>
      </w:r>
      <w:r>
        <w:instrText xml:space="preserve"> HYPERLINK "https://www.localpensionspartnership.org.uk/Portals/0/Documents/Responsible%20Investment/IIGCC%202021%2002%20Banks%20IE%20v16.pdf?ver=2021-05-10-102650-267" </w:instrText>
      </w:r>
      <w:r>
        <w:fldChar w:fldCharType="separate"/>
      </w:r>
      <w:r w:rsidRPr="005F6D16">
        <w:rPr>
          <w:rStyle w:val="Hyperlink"/>
          <w:rFonts w:ascii="Arial" w:hAnsi="Arial"/>
          <w:b w:val="0"/>
        </w:rPr>
        <w:t>expectations</w:t>
      </w:r>
      <w:r>
        <w:fldChar w:fldCharType="end"/>
      </w:r>
      <w:r>
        <w:rPr>
          <w:rFonts w:ascii="Arial" w:hAnsi="Arial"/>
          <w:b w:val="0"/>
        </w:rPr>
        <w:t xml:space="preserve"> address the position of the banking sector as a funding provider and  encourage the sector to </w:t>
      </w:r>
      <w:r w:rsidRPr="00EE615F">
        <w:rPr>
          <w:rFonts w:ascii="Arial" w:hAnsi="Arial"/>
          <w:b w:val="0"/>
        </w:rPr>
        <w:t xml:space="preserve">steadily eliminate financing of fossil fuel and other misaligned activities </w:t>
      </w:r>
      <w:r>
        <w:rPr>
          <w:rFonts w:ascii="Arial" w:hAnsi="Arial"/>
          <w:b w:val="0"/>
        </w:rPr>
        <w:t>in</w:t>
      </w:r>
      <w:r w:rsidRPr="00EE615F">
        <w:rPr>
          <w:rFonts w:ascii="Arial" w:hAnsi="Arial"/>
          <w:b w:val="0"/>
        </w:rPr>
        <w:t>consistent with a 2050 emissions target</w:t>
      </w:r>
      <w:r>
        <w:rPr>
          <w:rFonts w:ascii="Arial" w:hAnsi="Arial"/>
          <w:b w:val="0"/>
        </w:rPr>
        <w:t xml:space="preserve"> of net zero</w:t>
      </w:r>
      <w:r w:rsidRPr="00EE615F">
        <w:rPr>
          <w:rFonts w:ascii="Arial" w:hAnsi="Arial"/>
          <w:b w:val="0"/>
        </w:rPr>
        <w:t xml:space="preserve">, while increasing finance to zero and low-carbon solutions </w:t>
      </w:r>
      <w:r>
        <w:rPr>
          <w:rFonts w:ascii="Arial" w:hAnsi="Arial"/>
          <w:b w:val="0"/>
        </w:rPr>
        <w:t xml:space="preserve">which will assist </w:t>
      </w:r>
      <w:r w:rsidRPr="00EE615F">
        <w:rPr>
          <w:rFonts w:ascii="Arial" w:hAnsi="Arial"/>
          <w:b w:val="0"/>
        </w:rPr>
        <w:t>its achievement.</w:t>
      </w:r>
    </w:p>
    <w:p w:rsidR="003E2464" w:rsidP="00846783">
      <w:pPr>
        <w:pStyle w:val="treb"/>
        <w:numPr>
          <w:ilvl w:val="0"/>
          <w:numId w:val="0"/>
        </w:numPr>
        <w:spacing w:after="0"/>
        <w:rPr>
          <w:rFonts w:ascii="Arial" w:hAnsi="Arial"/>
        </w:rPr>
      </w:pPr>
    </w:p>
    <w:p w:rsidR="003E2464" w:rsidRPr="003E2464" w:rsidP="00846783">
      <w:pPr>
        <w:pStyle w:val="treb"/>
        <w:numPr>
          <w:ilvl w:val="0"/>
          <w:numId w:val="0"/>
        </w:numPr>
        <w:spacing w:after="0"/>
        <w:rPr>
          <w:rFonts w:ascii="Arial" w:hAnsi="Arial"/>
        </w:rPr>
      </w:pPr>
      <w:r w:rsidRPr="003E2464">
        <w:rPr>
          <w:rFonts w:ascii="Arial" w:hAnsi="Arial"/>
        </w:rPr>
        <w:t>Workforce Disclosure Initiative</w:t>
      </w:r>
      <w:r>
        <w:rPr>
          <w:rFonts w:ascii="Arial" w:hAnsi="Arial"/>
        </w:rPr>
        <w:t xml:space="preserve"> (WDI)</w:t>
      </w:r>
    </w:p>
    <w:p w:rsidR="003E2464" w:rsidP="003E2464">
      <w:pPr>
        <w:pStyle w:val="treb"/>
        <w:numPr>
          <w:ilvl w:val="0"/>
          <w:numId w:val="0"/>
        </w:numPr>
        <w:spacing w:after="0"/>
        <w:rPr>
          <w:rFonts w:ascii="Arial" w:hAnsi="Arial"/>
          <w:b w:val="0"/>
          <w:bCs w:val="0"/>
        </w:rPr>
      </w:pPr>
    </w:p>
    <w:p w:rsidR="00C873B0" w:rsidRPr="00C873B0" w:rsidP="00C873B0">
      <w:pPr>
        <w:pStyle w:val="treb"/>
        <w:numPr>
          <w:ilvl w:val="0"/>
          <w:numId w:val="0"/>
        </w:numPr>
        <w:spacing w:after="0"/>
        <w:rPr>
          <w:rFonts w:ascii="Arial" w:hAnsi="Arial"/>
          <w:b w:val="0"/>
          <w:bCs w:val="0"/>
        </w:rPr>
      </w:pPr>
      <w:r w:rsidRPr="003E2464">
        <w:rPr>
          <w:rFonts w:ascii="Arial" w:hAnsi="Arial"/>
          <w:b w:val="0"/>
          <w:bCs w:val="0"/>
        </w:rPr>
        <w:t>LPPI is a member of the Workforce Disclosure Initiative</w:t>
      </w:r>
      <w:r>
        <w:rPr>
          <w:rFonts w:ascii="Arial" w:hAnsi="Arial"/>
          <w:b w:val="0"/>
          <w:bCs w:val="0"/>
        </w:rPr>
        <w:t xml:space="preserve">. </w:t>
      </w:r>
      <w:r w:rsidRPr="00C873B0">
        <w:rPr>
          <w:rFonts w:ascii="Arial" w:hAnsi="Arial"/>
          <w:b w:val="0"/>
          <w:bCs w:val="0"/>
        </w:rPr>
        <w:t>Our subscription (and participation) support the development of</w:t>
      </w:r>
      <w:r>
        <w:rPr>
          <w:rFonts w:ascii="Arial" w:hAnsi="Arial"/>
          <w:b w:val="0"/>
          <w:bCs w:val="0"/>
        </w:rPr>
        <w:t xml:space="preserve"> more transparent reporting by listed companies and facilitate</w:t>
      </w:r>
      <w:r w:rsidRPr="00C873B0">
        <w:rPr>
          <w:rFonts w:ascii="Arial" w:hAnsi="Arial"/>
          <w:b w:val="0"/>
          <w:bCs w:val="0"/>
        </w:rPr>
        <w:t xml:space="preserve"> </w:t>
      </w:r>
      <w:r>
        <w:rPr>
          <w:rFonts w:ascii="Arial" w:hAnsi="Arial"/>
          <w:b w:val="0"/>
          <w:bCs w:val="0"/>
        </w:rPr>
        <w:t>engagement on</w:t>
      </w:r>
      <w:r w:rsidRPr="00C873B0">
        <w:rPr>
          <w:rFonts w:ascii="Arial" w:hAnsi="Arial"/>
          <w:b w:val="0"/>
          <w:bCs w:val="0"/>
        </w:rPr>
        <w:t xml:space="preserve"> workforce</w:t>
      </w:r>
      <w:r>
        <w:rPr>
          <w:rFonts w:ascii="Arial" w:hAnsi="Arial"/>
          <w:b w:val="0"/>
          <w:bCs w:val="0"/>
        </w:rPr>
        <w:t xml:space="preserve"> related issues </w:t>
      </w:r>
      <w:r w:rsidRPr="00C873B0">
        <w:rPr>
          <w:rFonts w:ascii="Arial" w:hAnsi="Arial"/>
          <w:b w:val="0"/>
          <w:bCs w:val="0"/>
        </w:rPr>
        <w:t xml:space="preserve">as </w:t>
      </w:r>
      <w:r>
        <w:rPr>
          <w:rFonts w:ascii="Arial" w:hAnsi="Arial"/>
          <w:b w:val="0"/>
          <w:bCs w:val="0"/>
        </w:rPr>
        <w:t xml:space="preserve">part of our </w:t>
      </w:r>
      <w:r w:rsidRPr="00C873B0">
        <w:rPr>
          <w:rFonts w:ascii="Arial" w:hAnsi="Arial"/>
          <w:b w:val="0"/>
          <w:bCs w:val="0"/>
        </w:rPr>
        <w:t xml:space="preserve">stewardship (the consideration of </w:t>
      </w:r>
      <w:r>
        <w:rPr>
          <w:rFonts w:ascii="Arial" w:hAnsi="Arial"/>
          <w:b w:val="0"/>
          <w:bCs w:val="0"/>
        </w:rPr>
        <w:t xml:space="preserve">material </w:t>
      </w:r>
      <w:r w:rsidRPr="00C873B0">
        <w:rPr>
          <w:rFonts w:ascii="Arial" w:hAnsi="Arial"/>
          <w:b w:val="0"/>
          <w:bCs w:val="0"/>
        </w:rPr>
        <w:t xml:space="preserve">social and governance </w:t>
      </w:r>
      <w:r>
        <w:rPr>
          <w:rFonts w:ascii="Arial" w:hAnsi="Arial"/>
          <w:b w:val="0"/>
          <w:bCs w:val="0"/>
        </w:rPr>
        <w:t>matters</w:t>
      </w:r>
      <w:r w:rsidRPr="00C873B0">
        <w:rPr>
          <w:rFonts w:ascii="Arial" w:hAnsi="Arial"/>
          <w:b w:val="0"/>
          <w:bCs w:val="0"/>
        </w:rPr>
        <w:t xml:space="preserve">).  </w:t>
      </w:r>
    </w:p>
    <w:p w:rsidR="00C873B0" w:rsidRPr="00C873B0" w:rsidP="00C873B0">
      <w:pPr>
        <w:spacing w:after="0"/>
        <w:rPr>
          <w:rFonts w:ascii="Arial" w:hAnsi="Arial" w:cs="Arial"/>
        </w:rPr>
      </w:pPr>
    </w:p>
    <w:p w:rsidR="00C873B0" w:rsidRPr="00C873B0" w:rsidP="00C873B0">
      <w:pPr>
        <w:spacing w:after="0"/>
        <w:rPr>
          <w:rFonts w:ascii="Arial" w:hAnsi="Arial" w:cs="Arial"/>
        </w:rPr>
      </w:pPr>
      <w:r w:rsidRPr="00C873B0">
        <w:rPr>
          <w:rFonts w:ascii="Arial" w:hAnsi="Arial" w:cs="Arial"/>
        </w:rPr>
        <w:t>WDI are currently gearing up for the 2021/22 cycle of company engagements and LPPI will be seeking to participate</w:t>
      </w:r>
      <w:r>
        <w:rPr>
          <w:rFonts w:ascii="Arial" w:hAnsi="Arial" w:cs="Arial"/>
        </w:rPr>
        <w:t>, by engaging</w:t>
      </w:r>
      <w:r w:rsidRPr="00C873B0">
        <w:rPr>
          <w:rFonts w:ascii="Arial" w:hAnsi="Arial" w:cs="Arial"/>
        </w:rPr>
        <w:t xml:space="preserve"> </w:t>
      </w:r>
      <w:r>
        <w:rPr>
          <w:rFonts w:ascii="Arial" w:hAnsi="Arial" w:cs="Arial"/>
        </w:rPr>
        <w:t xml:space="preserve">with </w:t>
      </w:r>
      <w:r w:rsidRPr="00C873B0">
        <w:rPr>
          <w:rFonts w:ascii="Arial" w:hAnsi="Arial" w:cs="Arial"/>
        </w:rPr>
        <w:t xml:space="preserve">companies </w:t>
      </w:r>
      <w:r>
        <w:rPr>
          <w:rFonts w:ascii="Arial" w:hAnsi="Arial" w:cs="Arial"/>
        </w:rPr>
        <w:t>held</w:t>
      </w:r>
      <w:r w:rsidRPr="00C873B0">
        <w:rPr>
          <w:rFonts w:ascii="Arial" w:hAnsi="Arial" w:cs="Arial"/>
        </w:rPr>
        <w:t xml:space="preserve"> </w:t>
      </w:r>
      <w:r>
        <w:rPr>
          <w:rFonts w:ascii="Arial" w:hAnsi="Arial" w:cs="Arial"/>
        </w:rPr>
        <w:t xml:space="preserve">within the internally managed global equities portfolio </w:t>
      </w:r>
      <w:r w:rsidRPr="00C873B0">
        <w:rPr>
          <w:rFonts w:ascii="Arial" w:hAnsi="Arial" w:cs="Arial"/>
        </w:rPr>
        <w:t>which are not yet disclosing</w:t>
      </w:r>
      <w:r>
        <w:rPr>
          <w:rFonts w:ascii="Arial" w:hAnsi="Arial" w:cs="Arial"/>
        </w:rPr>
        <w:t xml:space="preserve"> and asking them to consider completion and submission of the detailed annual questionnaire</w:t>
      </w:r>
      <w:r w:rsidRPr="00C873B0">
        <w:rPr>
          <w:rFonts w:ascii="Arial" w:hAnsi="Arial" w:cs="Arial"/>
        </w:rPr>
        <w:t xml:space="preserve">. </w:t>
      </w:r>
    </w:p>
    <w:p w:rsidR="00C873B0" w:rsidRPr="00C873B0" w:rsidP="00C873B0">
      <w:pPr>
        <w:spacing w:after="0"/>
        <w:rPr>
          <w:rFonts w:ascii="Arial" w:eastAsia="Calibri" w:hAnsi="Arial" w:cs="Arial"/>
          <w:b/>
          <w:bCs/>
          <w:color w:val="000000" w:themeColor="text1"/>
          <w:sz w:val="20"/>
          <w:szCs w:val="20"/>
        </w:rPr>
      </w:pPr>
    </w:p>
    <w:p w:rsidR="00C873B0" w:rsidRPr="00C873B0" w:rsidP="00C873B0">
      <w:pPr>
        <w:spacing w:after="0"/>
        <w:rPr>
          <w:rFonts w:ascii="Arial" w:eastAsia="Calibri" w:hAnsi="Arial" w:cs="Arial"/>
          <w:b/>
          <w:bCs/>
          <w:color w:val="000000" w:themeColor="text1"/>
        </w:rPr>
      </w:pPr>
      <w:r w:rsidRPr="00C873B0">
        <w:rPr>
          <w:rFonts w:ascii="Arial" w:eastAsia="Calibri" w:hAnsi="Arial" w:cs="Arial"/>
          <w:b/>
          <w:bCs/>
          <w:color w:val="000000" w:themeColor="text1"/>
        </w:rPr>
        <w:t xml:space="preserve">LGPS Scheme Advisory Board (SAB) – RI Advisory Group (RIAG) </w:t>
      </w:r>
    </w:p>
    <w:p w:rsidR="00C873B0" w:rsidRPr="00C873B0" w:rsidP="00C873B0">
      <w:pPr>
        <w:spacing w:after="0"/>
        <w:rPr>
          <w:rFonts w:ascii="Arial" w:eastAsia="Calibri" w:hAnsi="Arial" w:cs="Arial"/>
          <w:color w:val="000000" w:themeColor="text1"/>
        </w:rPr>
      </w:pPr>
    </w:p>
    <w:p w:rsidR="00C873B0" w:rsidRPr="00C873B0" w:rsidP="00C873B0">
      <w:pPr>
        <w:spacing w:after="0"/>
        <w:rPr>
          <w:rFonts w:ascii="Arial" w:eastAsia="Calibri" w:hAnsi="Arial" w:cs="Arial"/>
          <w:color w:val="000000" w:themeColor="text1"/>
        </w:rPr>
      </w:pPr>
      <w:r w:rsidRPr="00C873B0">
        <w:rPr>
          <w:rFonts w:ascii="Arial" w:eastAsia="Calibri" w:hAnsi="Arial" w:cs="Arial"/>
          <w:color w:val="000000" w:themeColor="text1"/>
        </w:rPr>
        <w:t>A new webpage has been launched which records the work of the new SAB RIAG</w:t>
      </w:r>
    </w:p>
    <w:p w:rsidR="00C873B0" w:rsidRPr="00C873B0" w:rsidP="00C873B0">
      <w:pPr>
        <w:spacing w:after="0"/>
        <w:rPr>
          <w:rFonts w:ascii="Arial" w:eastAsia="Calibri" w:hAnsi="Arial" w:cs="Arial"/>
          <w:b/>
          <w:bCs/>
          <w:color w:val="000000" w:themeColor="text1"/>
        </w:rPr>
      </w:pPr>
      <w:r>
        <w:fldChar w:fldCharType="begin"/>
      </w:r>
      <w:r>
        <w:instrText xml:space="preserve"> HYPERLINK "https://lgpsboard.org/index.php/riag-meetings-menu" </w:instrText>
      </w:r>
      <w:r>
        <w:fldChar w:fldCharType="separate"/>
      </w:r>
      <w:r w:rsidRPr="00C873B0" w:rsidR="001B0B08">
        <w:rPr>
          <w:rFonts w:ascii="Arial" w:eastAsia="Calibri" w:hAnsi="Arial" w:cs="Arial"/>
          <w:color w:val="0000FF"/>
          <w:u w:val="single"/>
        </w:rPr>
        <w:t>LGPS Scheme Advisory Board - RIAG Meetings (lgpsboard.org)</w:t>
      </w:r>
      <w:r>
        <w:fldChar w:fldCharType="end"/>
      </w:r>
    </w:p>
    <w:p w:rsidR="00C873B0" w:rsidRPr="00C873B0" w:rsidP="00C873B0">
      <w:pPr>
        <w:spacing w:after="0" w:line="240" w:lineRule="auto"/>
        <w:rPr>
          <w:rFonts w:ascii="Arial" w:eastAsia="Calibri" w:hAnsi="Arial" w:cs="Arial"/>
          <w:bCs/>
          <w:iCs/>
          <w:color w:val="000000" w:themeColor="text1"/>
        </w:rPr>
      </w:pPr>
    </w:p>
    <w:p w:rsidR="00C873B0" w:rsidRPr="00C873B0" w:rsidP="00C873B0">
      <w:pPr>
        <w:spacing w:after="0" w:line="240" w:lineRule="auto"/>
        <w:rPr>
          <w:rFonts w:ascii="Arial" w:hAnsi="Arial" w:cs="Arial"/>
        </w:rPr>
      </w:pPr>
      <w:r w:rsidRPr="00C873B0">
        <w:rPr>
          <w:rFonts w:ascii="Arial" w:eastAsia="Calibri" w:hAnsi="Arial" w:cs="Arial"/>
          <w:bCs/>
          <w:iCs/>
          <w:color w:val="000000" w:themeColor="text1"/>
        </w:rPr>
        <w:t xml:space="preserve">The group is chaired by Sandra Stewart (Greater Manchester Pension Fund) and assembles a wide cohort of members </w:t>
      </w:r>
      <w:r>
        <w:rPr>
          <w:rFonts w:ascii="Arial" w:eastAsia="Calibri" w:hAnsi="Arial" w:cs="Arial"/>
          <w:bCs/>
          <w:iCs/>
          <w:color w:val="000000" w:themeColor="text1"/>
        </w:rPr>
        <w:t xml:space="preserve">with </w:t>
      </w:r>
      <w:r w:rsidRPr="00C873B0">
        <w:rPr>
          <w:rFonts w:ascii="Arial" w:eastAsia="Calibri" w:hAnsi="Arial" w:cs="Arial"/>
          <w:bCs/>
          <w:iCs/>
          <w:color w:val="000000" w:themeColor="text1"/>
        </w:rPr>
        <w:t>secretariat</w:t>
      </w:r>
      <w:r>
        <w:rPr>
          <w:rFonts w:ascii="Arial" w:eastAsia="Calibri" w:hAnsi="Arial" w:cs="Arial"/>
          <w:bCs/>
          <w:iCs/>
          <w:color w:val="000000" w:themeColor="text1"/>
        </w:rPr>
        <w:t xml:space="preserve"> by </w:t>
      </w:r>
      <w:r w:rsidRPr="00C873B0">
        <w:rPr>
          <w:rFonts w:ascii="Arial" w:eastAsia="Calibri" w:hAnsi="Arial" w:cs="Arial"/>
          <w:bCs/>
          <w:iCs/>
          <w:color w:val="000000" w:themeColor="text1"/>
        </w:rPr>
        <w:t xml:space="preserve">the </w:t>
      </w:r>
      <w:r w:rsidRPr="002636B0">
        <w:rPr>
          <w:rFonts w:ascii="Arial" w:eastAsia="Calibri" w:hAnsi="Arial" w:cs="Arial"/>
          <w:bCs/>
          <w:iCs/>
          <w:color w:val="000000" w:themeColor="text1"/>
        </w:rPr>
        <w:t>Local Government Association</w:t>
      </w:r>
      <w:r>
        <w:rPr>
          <w:rFonts w:ascii="Arial" w:eastAsia="Calibri" w:hAnsi="Arial" w:cs="Arial"/>
          <w:bCs/>
          <w:iCs/>
          <w:color w:val="000000" w:themeColor="text1"/>
        </w:rPr>
        <w:t>.</w:t>
      </w:r>
      <w:r w:rsidRPr="002636B0">
        <w:rPr>
          <w:rFonts w:ascii="Arial" w:eastAsia="Calibri" w:hAnsi="Arial" w:cs="Arial"/>
          <w:bCs/>
          <w:iCs/>
          <w:color w:val="000000" w:themeColor="text1"/>
        </w:rPr>
        <w:t xml:space="preserve"> </w:t>
      </w:r>
      <w:r>
        <w:fldChar w:fldCharType="begin"/>
      </w:r>
      <w:r>
        <w:instrText xml:space="preserve"> HYPERLINK "https://lgpsboard.org/index.php/riag-membership" </w:instrText>
      </w:r>
      <w:r>
        <w:fldChar w:fldCharType="separate"/>
      </w:r>
      <w:r w:rsidRPr="00C873B0">
        <w:rPr>
          <w:rFonts w:ascii="Arial" w:eastAsia="Calibri" w:hAnsi="Arial" w:cs="Arial"/>
          <w:bCs/>
          <w:iCs/>
          <w:color w:val="0563C1" w:themeColor="hyperlink"/>
          <w:u w:val="single"/>
        </w:rPr>
        <w:t>https://lgpsboard.org/index.php/riag-membership</w:t>
      </w:r>
      <w:r>
        <w:fldChar w:fldCharType="end"/>
      </w:r>
      <w:r w:rsidRPr="00C873B0">
        <w:rPr>
          <w:rFonts w:ascii="Arial" w:eastAsia="Calibri" w:hAnsi="Arial" w:cs="Arial"/>
          <w:bCs/>
          <w:iCs/>
          <w:color w:val="000000" w:themeColor="text1"/>
        </w:rPr>
        <w:t xml:space="preserve">   LPPI’s Head of RI is one of three Pool representatives. </w:t>
      </w:r>
    </w:p>
    <w:p w:rsidR="00A706E9" w:rsidRPr="002636B0" w:rsidP="00C873B0">
      <w:pPr>
        <w:spacing w:after="0" w:line="240" w:lineRule="auto"/>
        <w:rPr>
          <w:rFonts w:ascii="Arial" w:eastAsia="Calibri" w:hAnsi="Arial" w:cs="Arial"/>
          <w:color w:val="000000" w:themeColor="text1"/>
        </w:rPr>
      </w:pPr>
    </w:p>
    <w:p w:rsidR="00D101E7" w:rsidP="00C873B0">
      <w:pPr>
        <w:spacing w:after="0" w:line="240" w:lineRule="auto"/>
        <w:rPr>
          <w:rFonts w:ascii="Arial" w:eastAsia="Calibri" w:hAnsi="Arial" w:cs="Arial"/>
          <w:color w:val="000000" w:themeColor="text1"/>
        </w:rPr>
      </w:pPr>
      <w:r w:rsidRPr="00C873B0">
        <w:rPr>
          <w:rFonts w:ascii="Arial" w:eastAsia="Calibri" w:hAnsi="Arial" w:cs="Arial"/>
          <w:color w:val="000000" w:themeColor="text1"/>
        </w:rPr>
        <w:t xml:space="preserve">The </w:t>
      </w:r>
      <w:r>
        <w:rPr>
          <w:rFonts w:ascii="Arial" w:eastAsia="Calibri" w:hAnsi="Arial" w:cs="Arial"/>
          <w:color w:val="000000" w:themeColor="text1"/>
        </w:rPr>
        <w:t xml:space="preserve">RIAG’s </w:t>
      </w:r>
      <w:r w:rsidRPr="00C873B0">
        <w:rPr>
          <w:rFonts w:ascii="Arial" w:eastAsia="Calibri" w:hAnsi="Arial" w:cs="Arial"/>
          <w:color w:val="000000" w:themeColor="text1"/>
        </w:rPr>
        <w:t>initial meeting (3rd March</w:t>
      </w:r>
      <w:r>
        <w:rPr>
          <w:rFonts w:ascii="Arial" w:eastAsia="Calibri" w:hAnsi="Arial" w:cs="Arial"/>
          <w:color w:val="000000" w:themeColor="text1"/>
        </w:rPr>
        <w:t xml:space="preserve"> 2021</w:t>
      </w:r>
      <w:r w:rsidRPr="00C873B0">
        <w:rPr>
          <w:rFonts w:ascii="Arial" w:eastAsia="Calibri" w:hAnsi="Arial" w:cs="Arial"/>
          <w:color w:val="000000" w:themeColor="text1"/>
        </w:rPr>
        <w:t>) agreed terms of reference</w:t>
      </w:r>
      <w:r>
        <w:rPr>
          <w:rFonts w:ascii="Arial" w:eastAsia="Calibri" w:hAnsi="Arial" w:cs="Arial"/>
          <w:color w:val="000000" w:themeColor="text1"/>
        </w:rPr>
        <w:t xml:space="preserve"> and began the review of an online RI Database which group members will help to maintain and develop. The database is now live on-line and offers an accessible </w:t>
      </w:r>
      <w:r>
        <w:fldChar w:fldCharType="begin"/>
      </w:r>
      <w:r>
        <w:instrText xml:space="preserve"> HYPERLINK "https://ri.lgpsboard.org/items" </w:instrText>
      </w:r>
      <w:r>
        <w:fldChar w:fldCharType="separate"/>
      </w:r>
      <w:r w:rsidRPr="00D101E7">
        <w:rPr>
          <w:rStyle w:val="Hyperlink"/>
          <w:rFonts w:ascii="Arial" w:eastAsia="Calibri" w:hAnsi="Arial" w:cs="Arial"/>
        </w:rPr>
        <w:t>A to Z</w:t>
      </w:r>
      <w:r>
        <w:fldChar w:fldCharType="end"/>
      </w:r>
      <w:r>
        <w:rPr>
          <w:rFonts w:ascii="Arial" w:eastAsia="Calibri" w:hAnsi="Arial" w:cs="Arial"/>
          <w:color w:val="000000" w:themeColor="text1"/>
        </w:rPr>
        <w:t xml:space="preserve"> guide or “one stop shop” of Responsible Investment information. The new resource is open access and will develop over time as an assistance to LGPS pension fund members and stakeholders. It is designed to demystify the hundreds of terms (and many acronyms) that routinely crop up as part of RI and to support pension fund committee and local pension board members in their duties.</w:t>
      </w:r>
    </w:p>
    <w:p w:rsidR="00D101E7" w:rsidP="00C873B0">
      <w:pPr>
        <w:spacing w:after="0" w:line="240" w:lineRule="auto"/>
        <w:rPr>
          <w:rFonts w:ascii="Arial" w:eastAsia="Calibri" w:hAnsi="Arial" w:cs="Arial"/>
          <w:color w:val="000000" w:themeColor="text1"/>
        </w:rPr>
      </w:pPr>
    </w:p>
    <w:p w:rsidR="00D101E7" w:rsidP="00C873B0">
      <w:pPr>
        <w:spacing w:after="0" w:line="240" w:lineRule="auto"/>
        <w:rPr>
          <w:rFonts w:ascii="Arial" w:eastAsia="Calibri" w:hAnsi="Arial" w:cs="Arial"/>
          <w:color w:val="000000" w:themeColor="text1"/>
        </w:rPr>
      </w:pPr>
      <w:r>
        <w:rPr>
          <w:rFonts w:ascii="Arial" w:eastAsia="Calibri" w:hAnsi="Arial" w:cs="Arial"/>
          <w:color w:val="000000" w:themeColor="text1"/>
        </w:rPr>
        <w:t>Client funds are encouraged to take a look at the A to Z and to provide feedback on any matters they feel could usefully be added, something which can be quickly and easily done using the “what’s missing” link.</w:t>
      </w:r>
    </w:p>
    <w:p w:rsidR="00FD3F37" w:rsidP="00C873B0">
      <w:pPr>
        <w:spacing w:after="0" w:line="240" w:lineRule="auto"/>
        <w:rPr>
          <w:rFonts w:ascii="Arial" w:eastAsia="Calibri" w:hAnsi="Arial" w:cs="Arial"/>
          <w:color w:val="000000" w:themeColor="text1"/>
        </w:rPr>
      </w:pPr>
    </w:p>
    <w:p w:rsidR="00FD3F37" w:rsidP="00C873B0">
      <w:pPr>
        <w:spacing w:after="0" w:line="240" w:lineRule="auto"/>
        <w:rPr>
          <w:rFonts w:ascii="Arial" w:eastAsia="Calibri" w:hAnsi="Arial" w:cs="Arial"/>
          <w:color w:val="000000" w:themeColor="text1"/>
        </w:rPr>
      </w:pPr>
      <w:r>
        <w:rPr>
          <w:rFonts w:ascii="Arial" w:eastAsia="Calibri" w:hAnsi="Arial" w:cs="Arial"/>
          <w:color w:val="000000" w:themeColor="text1"/>
        </w:rPr>
        <w:t xml:space="preserve">An image of the front page is shown below, which demonstrates that the A to Z has search and filter facilities, assistance on how to use the site, and a space for case studies that Pension Schemes are encouraged to contribute. </w:t>
      </w:r>
    </w:p>
    <w:p w:rsidR="00C873B0" w:rsidRPr="00C873B0" w:rsidP="00C873B0">
      <w:pPr>
        <w:spacing w:after="0" w:line="240" w:lineRule="auto"/>
        <w:rPr>
          <w:rFonts w:ascii="Arial" w:eastAsia="Calibri" w:hAnsi="Arial" w:cs="Arial"/>
          <w:color w:val="000000" w:themeColor="text1"/>
        </w:rPr>
      </w:pPr>
    </w:p>
    <w:p w:rsidR="00D101E7" w:rsidP="00C873B0">
      <w:pPr>
        <w:spacing w:after="0" w:line="240" w:lineRule="auto"/>
        <w:rPr>
          <w:rFonts w:ascii="Arial" w:eastAsia="Calibri" w:hAnsi="Arial" w:cs="Arial"/>
          <w:color w:val="000000" w:themeColor="text1"/>
        </w:rPr>
      </w:pPr>
      <w:r>
        <w:rPr>
          <w:noProof/>
        </w:rPr>
        <w:drawing>
          <wp:inline distT="0" distB="0" distL="0" distR="0">
            <wp:extent cx="5239079" cy="5474970"/>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270477" cy="5507782"/>
                    </a:xfrm>
                    <a:prstGeom prst="rect">
                      <a:avLst/>
                    </a:prstGeom>
                    <a:ln>
                      <a:solidFill>
                        <a:schemeClr val="accent1"/>
                      </a:solidFill>
                    </a:ln>
                  </pic:spPr>
                </pic:pic>
              </a:graphicData>
            </a:graphic>
          </wp:inline>
        </w:drawing>
      </w:r>
    </w:p>
    <w:p w:rsidR="006B4CD5" w:rsidP="00C873B0">
      <w:pPr>
        <w:spacing w:after="0" w:line="240" w:lineRule="auto"/>
        <w:rPr>
          <w:rFonts w:ascii="Arial" w:eastAsia="Calibri" w:hAnsi="Arial" w:cs="Arial"/>
          <w:color w:val="000000" w:themeColor="text1"/>
        </w:rPr>
      </w:pPr>
    </w:p>
    <w:p w:rsidR="002636B0" w:rsidP="00C873B0">
      <w:pPr>
        <w:spacing w:after="0" w:line="240" w:lineRule="auto"/>
        <w:rPr>
          <w:rFonts w:ascii="Arial" w:eastAsia="Calibri" w:hAnsi="Arial" w:cs="Arial"/>
          <w:color w:val="000000" w:themeColor="text1"/>
        </w:rPr>
      </w:pPr>
      <w:r>
        <w:rPr>
          <w:rFonts w:ascii="Arial" w:eastAsia="Calibri" w:hAnsi="Arial" w:cs="Arial"/>
          <w:color w:val="000000" w:themeColor="text1"/>
        </w:rPr>
        <w:t>The RIAG’s</w:t>
      </w:r>
      <w:r w:rsidRPr="00C873B0">
        <w:rPr>
          <w:rFonts w:ascii="Arial" w:eastAsia="Calibri" w:hAnsi="Arial" w:cs="Arial"/>
          <w:color w:val="000000" w:themeColor="text1"/>
        </w:rPr>
        <w:t xml:space="preserve"> second meeting (14th April</w:t>
      </w:r>
      <w:r>
        <w:rPr>
          <w:rFonts w:ascii="Arial" w:eastAsia="Calibri" w:hAnsi="Arial" w:cs="Arial"/>
          <w:color w:val="000000" w:themeColor="text1"/>
        </w:rPr>
        <w:t xml:space="preserve"> 2021</w:t>
      </w:r>
      <w:r w:rsidRPr="00C873B0">
        <w:rPr>
          <w:rFonts w:ascii="Arial" w:eastAsia="Calibri" w:hAnsi="Arial" w:cs="Arial"/>
          <w:color w:val="000000" w:themeColor="text1"/>
        </w:rPr>
        <w:t xml:space="preserve">) was attended by MHCLG and confirmed </w:t>
      </w:r>
      <w:r>
        <w:rPr>
          <w:rFonts w:ascii="Arial" w:eastAsia="Calibri" w:hAnsi="Arial" w:cs="Arial"/>
          <w:color w:val="000000" w:themeColor="text1"/>
        </w:rPr>
        <w:t xml:space="preserve">a </w:t>
      </w:r>
      <w:r w:rsidRPr="00C873B0">
        <w:rPr>
          <w:rFonts w:ascii="Arial" w:eastAsia="Calibri" w:hAnsi="Arial" w:cs="Arial"/>
          <w:color w:val="000000" w:themeColor="text1"/>
        </w:rPr>
        <w:t xml:space="preserve">consultation </w:t>
      </w:r>
      <w:r>
        <w:rPr>
          <w:rFonts w:ascii="Arial" w:eastAsia="Calibri" w:hAnsi="Arial" w:cs="Arial"/>
          <w:color w:val="000000" w:themeColor="text1"/>
        </w:rPr>
        <w:t xml:space="preserve">paper is under development </w:t>
      </w:r>
      <w:r w:rsidRPr="00C873B0">
        <w:rPr>
          <w:rFonts w:ascii="Arial" w:eastAsia="Calibri" w:hAnsi="Arial" w:cs="Arial"/>
          <w:color w:val="000000" w:themeColor="text1"/>
        </w:rPr>
        <w:t xml:space="preserve">on compulsory reporting in line with recommendations by the Taskforce on Climate related Disclosure (TCFD). </w:t>
      </w:r>
      <w:r>
        <w:rPr>
          <w:rFonts w:ascii="Arial" w:eastAsia="Calibri" w:hAnsi="Arial" w:cs="Arial"/>
          <w:color w:val="000000" w:themeColor="text1"/>
        </w:rPr>
        <w:t>TCFD p</w:t>
      </w:r>
      <w:r w:rsidRPr="00C873B0">
        <w:rPr>
          <w:rFonts w:ascii="Arial" w:eastAsia="Calibri" w:hAnsi="Arial" w:cs="Arial"/>
          <w:color w:val="000000" w:themeColor="text1"/>
        </w:rPr>
        <w:t xml:space="preserve">roposals </w:t>
      </w:r>
      <w:r>
        <w:rPr>
          <w:rFonts w:ascii="Arial" w:eastAsia="Calibri" w:hAnsi="Arial" w:cs="Arial"/>
          <w:color w:val="000000" w:themeColor="text1"/>
        </w:rPr>
        <w:t>for</w:t>
      </w:r>
      <w:r w:rsidRPr="00C873B0">
        <w:rPr>
          <w:rFonts w:ascii="Arial" w:eastAsia="Calibri" w:hAnsi="Arial" w:cs="Arial"/>
          <w:color w:val="000000" w:themeColor="text1"/>
        </w:rPr>
        <w:t xml:space="preserve"> LGPS pension funds are expected to mirror </w:t>
      </w:r>
      <w:r w:rsidRPr="002636B0">
        <w:rPr>
          <w:rFonts w:ascii="Arial" w:eastAsia="Calibri" w:hAnsi="Arial" w:cs="Arial"/>
          <w:color w:val="000000" w:themeColor="text1"/>
        </w:rPr>
        <w:t xml:space="preserve">the </w:t>
      </w:r>
      <w:r w:rsidRPr="00C873B0">
        <w:rPr>
          <w:rFonts w:ascii="Arial" w:eastAsia="Calibri" w:hAnsi="Arial" w:cs="Arial"/>
          <w:color w:val="000000" w:themeColor="text1"/>
        </w:rPr>
        <w:t>DWP requirements for Trust based Pension schemes which have already been published</w:t>
      </w:r>
      <w:r>
        <w:rPr>
          <w:rFonts w:ascii="Arial" w:eastAsia="Calibri" w:hAnsi="Arial" w:cs="Arial"/>
          <w:color w:val="000000" w:themeColor="text1"/>
        </w:rPr>
        <w:t>, with requirements likely to commence in 2022 with first reporting for financial year 2022/23.</w:t>
      </w:r>
      <w:r w:rsidRPr="00C873B0">
        <w:rPr>
          <w:rFonts w:ascii="Arial" w:eastAsia="Calibri" w:hAnsi="Arial" w:cs="Arial"/>
          <w:color w:val="000000" w:themeColor="text1"/>
        </w:rPr>
        <w:t xml:space="preserve"> </w:t>
      </w:r>
    </w:p>
    <w:p w:rsidR="002636B0" w:rsidP="00C873B0">
      <w:pPr>
        <w:spacing w:after="0" w:line="240" w:lineRule="auto"/>
        <w:rPr>
          <w:rFonts w:ascii="Arial" w:eastAsia="Calibri" w:hAnsi="Arial" w:cs="Arial"/>
          <w:color w:val="000000" w:themeColor="text1"/>
        </w:rPr>
      </w:pPr>
    </w:p>
    <w:p w:rsidR="00C873B0" w:rsidRPr="00C873B0" w:rsidP="00C873B0">
      <w:pPr>
        <w:spacing w:after="0" w:line="240" w:lineRule="auto"/>
        <w:rPr>
          <w:rFonts w:ascii="Arial" w:eastAsia="Calibri" w:hAnsi="Arial" w:cs="Arial"/>
          <w:color w:val="000000" w:themeColor="text1"/>
        </w:rPr>
      </w:pPr>
      <w:r>
        <w:rPr>
          <w:rFonts w:ascii="Arial" w:eastAsia="Calibri" w:hAnsi="Arial" w:cs="Arial"/>
          <w:color w:val="000000" w:themeColor="text1"/>
        </w:rPr>
        <w:t>LPPI will provide further information to client pension funds</w:t>
      </w:r>
      <w:r w:rsidRPr="00C873B0">
        <w:rPr>
          <w:rFonts w:ascii="Arial" w:eastAsia="Calibri" w:hAnsi="Arial" w:cs="Arial"/>
          <w:color w:val="000000" w:themeColor="text1"/>
        </w:rPr>
        <w:t xml:space="preserve"> </w:t>
      </w:r>
      <w:r>
        <w:rPr>
          <w:rFonts w:ascii="Arial" w:eastAsia="Calibri" w:hAnsi="Arial" w:cs="Arial"/>
          <w:color w:val="000000" w:themeColor="text1"/>
        </w:rPr>
        <w:t>once the consultation paper has been issued.</w:t>
      </w:r>
    </w:p>
    <w:p w:rsidR="0092279D" w:rsidRPr="0008784A" w:rsidP="007B0320">
      <w:pPr>
        <w:spacing w:after="0"/>
        <w:rPr>
          <w:rFonts w:ascii="Arial" w:hAnsi="Arial" w:cs="Arial"/>
        </w:rPr>
      </w:pPr>
    </w:p>
    <w:p w:rsidR="00846783" w:rsidP="007B0320">
      <w:pPr>
        <w:pStyle w:val="treb"/>
        <w:numPr>
          <w:ilvl w:val="0"/>
          <w:numId w:val="9"/>
        </w:numPr>
        <w:spacing w:after="0"/>
        <w:ind w:hanging="720"/>
        <w:rPr>
          <w:rFonts w:ascii="Arial" w:hAnsi="Arial"/>
          <w:color w:val="54BBAB"/>
        </w:rPr>
      </w:pPr>
      <w:r w:rsidRPr="00A7642D">
        <w:rPr>
          <w:rFonts w:ascii="Arial" w:hAnsi="Arial"/>
          <w:color w:val="54BBAB"/>
        </w:rPr>
        <w:t>Other News and Insights</w:t>
      </w:r>
    </w:p>
    <w:p w:rsidR="00F93E12" w:rsidP="00F93E12">
      <w:pPr>
        <w:pStyle w:val="treb"/>
        <w:numPr>
          <w:ilvl w:val="0"/>
          <w:numId w:val="0"/>
        </w:numPr>
        <w:spacing w:after="0"/>
        <w:rPr>
          <w:rFonts w:ascii="Arial" w:hAnsi="Arial"/>
          <w:color w:val="FF0000"/>
        </w:rPr>
      </w:pPr>
    </w:p>
    <w:p w:rsidR="00FF2972" w:rsidP="00FF2972">
      <w:pPr>
        <w:pStyle w:val="treb"/>
        <w:numPr>
          <w:ilvl w:val="0"/>
          <w:numId w:val="0"/>
        </w:numPr>
        <w:spacing w:after="0"/>
        <w:rPr>
          <w:rFonts w:ascii="Arial" w:hAnsi="Arial"/>
        </w:rPr>
      </w:pPr>
      <w:r>
        <w:rPr>
          <w:rFonts w:ascii="Arial" w:hAnsi="Arial"/>
        </w:rPr>
        <w:t>Principles for Responsible Investment (PRI)</w:t>
      </w:r>
    </w:p>
    <w:p w:rsidR="00FF2972" w:rsidP="00FF2972">
      <w:pPr>
        <w:pStyle w:val="treb"/>
        <w:numPr>
          <w:ilvl w:val="0"/>
          <w:numId w:val="0"/>
        </w:numPr>
        <w:spacing w:after="0"/>
        <w:rPr>
          <w:rFonts w:ascii="Arial" w:hAnsi="Arial"/>
        </w:rPr>
      </w:pPr>
    </w:p>
    <w:p w:rsidR="00FF2972" w:rsidRPr="00FF2972" w:rsidP="00FF2972">
      <w:pPr>
        <w:pStyle w:val="treb"/>
        <w:numPr>
          <w:ilvl w:val="0"/>
          <w:numId w:val="0"/>
        </w:numPr>
        <w:spacing w:after="0"/>
        <w:rPr>
          <w:rFonts w:ascii="Arial" w:hAnsi="Arial"/>
        </w:rPr>
      </w:pPr>
      <w:r>
        <w:rPr>
          <w:rFonts w:ascii="Arial" w:hAnsi="Arial"/>
          <w:b w:val="0"/>
        </w:rPr>
        <w:t>LPPI submitted detailed annual reporting for the period 1</w:t>
      </w:r>
      <w:r w:rsidRPr="00514333">
        <w:rPr>
          <w:rFonts w:ascii="Arial" w:hAnsi="Arial"/>
          <w:b w:val="0"/>
          <w:vertAlign w:val="superscript"/>
        </w:rPr>
        <w:t>st</w:t>
      </w:r>
      <w:r>
        <w:rPr>
          <w:rFonts w:ascii="Arial" w:hAnsi="Arial"/>
          <w:b w:val="0"/>
        </w:rPr>
        <w:t xml:space="preserve"> January to 31 December 2020 at the end of April. </w:t>
      </w:r>
    </w:p>
    <w:p w:rsidR="009067E5" w:rsidP="00FF2972">
      <w:pPr>
        <w:spacing w:after="0"/>
        <w:rPr>
          <w:rFonts w:ascii="Arial" w:hAnsi="Arial" w:cs="Arial"/>
          <w:bCs/>
        </w:rPr>
      </w:pPr>
    </w:p>
    <w:p w:rsidR="009067E5" w:rsidRPr="009067E5" w:rsidP="00FF2972">
      <w:pPr>
        <w:spacing w:after="0"/>
        <w:rPr>
          <w:rFonts w:ascii="Arial" w:hAnsi="Arial" w:cs="Arial"/>
          <w:bCs/>
        </w:rPr>
      </w:pPr>
      <w:r w:rsidRPr="009067E5">
        <w:rPr>
          <w:rFonts w:ascii="Arial" w:hAnsi="Arial" w:cs="Arial"/>
          <w:bCs/>
        </w:rPr>
        <w:t xml:space="preserve">Signatories to the Principles for Responsible Investment are required to report annually </w:t>
      </w:r>
      <w:r>
        <w:rPr>
          <w:rFonts w:ascii="Arial" w:hAnsi="Arial" w:cs="Arial"/>
          <w:bCs/>
        </w:rPr>
        <w:t xml:space="preserve">under </w:t>
      </w:r>
      <w:r w:rsidRPr="009067E5">
        <w:rPr>
          <w:rFonts w:ascii="Arial" w:hAnsi="Arial" w:cs="Arial"/>
          <w:bCs/>
        </w:rPr>
        <w:t xml:space="preserve">a lengthy and time-consuming disclosure process. In 2021 reporting </w:t>
      </w:r>
      <w:r>
        <w:rPr>
          <w:rFonts w:ascii="Arial" w:hAnsi="Arial" w:cs="Arial"/>
          <w:bCs/>
        </w:rPr>
        <w:t>h</w:t>
      </w:r>
      <w:r w:rsidRPr="009067E5">
        <w:rPr>
          <w:rFonts w:ascii="Arial" w:hAnsi="Arial" w:cs="Arial"/>
          <w:bCs/>
        </w:rPr>
        <w:t xml:space="preserve">as </w:t>
      </w:r>
      <w:r>
        <w:rPr>
          <w:rFonts w:ascii="Arial" w:hAnsi="Arial" w:cs="Arial"/>
          <w:bCs/>
        </w:rPr>
        <w:t xml:space="preserve">been </w:t>
      </w:r>
      <w:r w:rsidRPr="009067E5">
        <w:rPr>
          <w:rFonts w:ascii="Arial" w:hAnsi="Arial" w:cs="Arial"/>
          <w:bCs/>
        </w:rPr>
        <w:t>made harder by an updated online reporting platform supporting a revised and extended PRI questionnaire</w:t>
      </w:r>
      <w:r>
        <w:rPr>
          <w:rFonts w:ascii="Arial" w:hAnsi="Arial" w:cs="Arial"/>
          <w:bCs/>
        </w:rPr>
        <w:t>. Implementation</w:t>
      </w:r>
      <w:r w:rsidRPr="009067E5">
        <w:rPr>
          <w:rFonts w:ascii="Arial" w:hAnsi="Arial" w:cs="Arial"/>
          <w:bCs/>
        </w:rPr>
        <w:t xml:space="preserve"> encountered a number of</w:t>
      </w:r>
      <w:r w:rsidRPr="00FF2972">
        <w:rPr>
          <w:rFonts w:ascii="Arial" w:hAnsi="Arial" w:cs="Arial"/>
          <w:bCs/>
        </w:rPr>
        <w:t xml:space="preserve"> issues</w:t>
      </w:r>
      <w:r>
        <w:rPr>
          <w:rFonts w:ascii="Arial" w:hAnsi="Arial" w:cs="Arial"/>
          <w:bCs/>
        </w:rPr>
        <w:t xml:space="preserve"> and delays which required the online platform to remain open until mid-May</w:t>
      </w:r>
      <w:r w:rsidRPr="009067E5">
        <w:rPr>
          <w:rFonts w:ascii="Arial" w:hAnsi="Arial" w:cs="Arial"/>
          <w:bCs/>
        </w:rPr>
        <w:t xml:space="preserve">. </w:t>
      </w:r>
    </w:p>
    <w:p w:rsidR="00FF2972" w:rsidRPr="00FF2972" w:rsidP="00FF2972">
      <w:pPr>
        <w:spacing w:after="0"/>
        <w:rPr>
          <w:rFonts w:ascii="Arial" w:hAnsi="Arial" w:cs="Arial"/>
          <w:bCs/>
        </w:rPr>
      </w:pPr>
    </w:p>
    <w:p w:rsidR="00FF2972" w:rsidRPr="00FF2972" w:rsidP="00FF2972">
      <w:pPr>
        <w:spacing w:after="0"/>
        <w:rPr>
          <w:rFonts w:ascii="Arial" w:hAnsi="Arial" w:cs="Arial"/>
          <w:bCs/>
        </w:rPr>
      </w:pPr>
      <w:r w:rsidRPr="00FF2972">
        <w:rPr>
          <w:rFonts w:ascii="Arial" w:hAnsi="Arial" w:cs="Arial"/>
          <w:bCs/>
        </w:rPr>
        <w:t xml:space="preserve">No firm date has been given for the release of </w:t>
      </w:r>
      <w:r>
        <w:rPr>
          <w:rFonts w:ascii="Arial" w:hAnsi="Arial" w:cs="Arial"/>
          <w:bCs/>
        </w:rPr>
        <w:t xml:space="preserve">2021 </w:t>
      </w:r>
      <w:r w:rsidRPr="00FF2972">
        <w:rPr>
          <w:rFonts w:ascii="Arial" w:hAnsi="Arial" w:cs="Arial"/>
          <w:bCs/>
        </w:rPr>
        <w:t xml:space="preserve">scoring </w:t>
      </w:r>
      <w:r w:rsidRPr="009067E5">
        <w:rPr>
          <w:rFonts w:ascii="Arial" w:hAnsi="Arial" w:cs="Arial"/>
          <w:bCs/>
        </w:rPr>
        <w:t>which has also been revised</w:t>
      </w:r>
      <w:r>
        <w:rPr>
          <w:rFonts w:ascii="Arial" w:hAnsi="Arial" w:cs="Arial"/>
          <w:bCs/>
        </w:rPr>
        <w:t xml:space="preserve"> this year</w:t>
      </w:r>
      <w:r w:rsidRPr="009067E5">
        <w:rPr>
          <w:rFonts w:ascii="Arial" w:hAnsi="Arial" w:cs="Arial"/>
          <w:bCs/>
        </w:rPr>
        <w:t xml:space="preserve"> and will mean prior year </w:t>
      </w:r>
      <w:r>
        <w:rPr>
          <w:rFonts w:ascii="Arial" w:hAnsi="Arial" w:cs="Arial"/>
          <w:bCs/>
        </w:rPr>
        <w:t>ratings</w:t>
      </w:r>
      <w:r w:rsidRPr="009067E5">
        <w:rPr>
          <w:rFonts w:ascii="Arial" w:hAnsi="Arial" w:cs="Arial"/>
          <w:bCs/>
        </w:rPr>
        <w:t xml:space="preserve"> </w:t>
      </w:r>
      <w:r>
        <w:rPr>
          <w:rFonts w:ascii="Arial" w:hAnsi="Arial" w:cs="Arial"/>
          <w:bCs/>
        </w:rPr>
        <w:t>are</w:t>
      </w:r>
      <w:r w:rsidRPr="009067E5">
        <w:rPr>
          <w:rFonts w:ascii="Arial" w:hAnsi="Arial" w:cs="Arial"/>
          <w:bCs/>
        </w:rPr>
        <w:t xml:space="preserve"> not directly comparable with results of the new assessment approach introduced for 2021.</w:t>
      </w:r>
    </w:p>
    <w:p w:rsidR="004D5F88" w:rsidP="00F93E12">
      <w:pPr>
        <w:pStyle w:val="treb"/>
        <w:numPr>
          <w:ilvl w:val="0"/>
          <w:numId w:val="0"/>
        </w:numPr>
        <w:spacing w:after="0"/>
        <w:rPr>
          <w:rFonts w:ascii="Arial" w:hAnsi="Arial"/>
        </w:rPr>
      </w:pPr>
    </w:p>
    <w:p w:rsidR="00652772" w:rsidRPr="00FD3F37" w:rsidP="00F93E12">
      <w:pPr>
        <w:pStyle w:val="treb"/>
        <w:numPr>
          <w:ilvl w:val="0"/>
          <w:numId w:val="0"/>
        </w:numPr>
        <w:spacing w:after="0"/>
        <w:rPr>
          <w:rFonts w:ascii="Arial" w:hAnsi="Arial"/>
        </w:rPr>
      </w:pPr>
      <w:r w:rsidRPr="00FD3F37">
        <w:rPr>
          <w:rFonts w:ascii="Arial" w:hAnsi="Arial"/>
        </w:rPr>
        <w:t xml:space="preserve">LPPI RI </w:t>
      </w:r>
      <w:r>
        <w:rPr>
          <w:rFonts w:ascii="Arial" w:hAnsi="Arial"/>
        </w:rPr>
        <w:t>P</w:t>
      </w:r>
      <w:r w:rsidRPr="00FD3F37">
        <w:rPr>
          <w:rFonts w:ascii="Arial" w:hAnsi="Arial"/>
        </w:rPr>
        <w:t xml:space="preserve">riorities for </w:t>
      </w:r>
      <w:r>
        <w:rPr>
          <w:rFonts w:ascii="Arial" w:hAnsi="Arial"/>
        </w:rPr>
        <w:t xml:space="preserve">the </w:t>
      </w:r>
      <w:r w:rsidRPr="00FD3F37">
        <w:rPr>
          <w:rFonts w:ascii="Arial" w:hAnsi="Arial"/>
        </w:rPr>
        <w:t>year ahead</w:t>
      </w:r>
    </w:p>
    <w:p w:rsidR="00FD3F37" w:rsidP="006D4B5C">
      <w:pPr>
        <w:pStyle w:val="treb"/>
        <w:numPr>
          <w:ilvl w:val="0"/>
          <w:numId w:val="0"/>
        </w:numPr>
        <w:spacing w:after="0"/>
        <w:rPr>
          <w:rFonts w:ascii="Arial" w:hAnsi="Arial"/>
          <w:b w:val="0"/>
          <w:bCs w:val="0"/>
        </w:rPr>
      </w:pPr>
    </w:p>
    <w:p w:rsidR="00F8373B" w:rsidP="006D4B5C">
      <w:pPr>
        <w:pStyle w:val="treb"/>
        <w:numPr>
          <w:ilvl w:val="0"/>
          <w:numId w:val="0"/>
        </w:numPr>
        <w:spacing w:after="0"/>
        <w:rPr>
          <w:rFonts w:ascii="Arial" w:hAnsi="Arial"/>
          <w:b w:val="0"/>
          <w:bCs w:val="0"/>
        </w:rPr>
      </w:pPr>
      <w:r>
        <w:rPr>
          <w:rFonts w:ascii="Arial" w:hAnsi="Arial"/>
          <w:b w:val="0"/>
          <w:bCs w:val="0"/>
        </w:rPr>
        <w:t>LPPI introduced the RI issues identified as priorities for the year ahead to representatives from client pension funds</w:t>
      </w:r>
      <w:r w:rsidRPr="00F22FD1">
        <w:rPr>
          <w:rFonts w:ascii="Arial" w:hAnsi="Arial"/>
          <w:b w:val="0"/>
          <w:bCs w:val="0"/>
        </w:rPr>
        <w:t xml:space="preserve"> </w:t>
      </w:r>
      <w:r>
        <w:rPr>
          <w:rFonts w:ascii="Arial" w:hAnsi="Arial"/>
          <w:b w:val="0"/>
          <w:bCs w:val="0"/>
        </w:rPr>
        <w:t xml:space="preserve">who attended the </w:t>
      </w:r>
      <w:r w:rsidRPr="00FD3F37">
        <w:rPr>
          <w:rFonts w:ascii="Arial" w:hAnsi="Arial"/>
          <w:b w:val="0"/>
          <w:bCs w:val="0"/>
        </w:rPr>
        <w:t xml:space="preserve">Client Forum </w:t>
      </w:r>
      <w:r>
        <w:rPr>
          <w:rFonts w:ascii="Arial" w:hAnsi="Arial"/>
          <w:b w:val="0"/>
          <w:bCs w:val="0"/>
        </w:rPr>
        <w:t xml:space="preserve">held </w:t>
      </w:r>
      <w:r w:rsidRPr="00FD3F37">
        <w:rPr>
          <w:rFonts w:ascii="Arial" w:hAnsi="Arial"/>
          <w:b w:val="0"/>
          <w:bCs w:val="0"/>
        </w:rPr>
        <w:t>on 21 April 2021</w:t>
      </w:r>
      <w:r>
        <w:rPr>
          <w:rFonts w:ascii="Arial" w:hAnsi="Arial"/>
          <w:b w:val="0"/>
          <w:bCs w:val="0"/>
        </w:rPr>
        <w:t xml:space="preserve">. </w:t>
      </w:r>
    </w:p>
    <w:p w:rsidR="00511628" w:rsidP="006D4B5C">
      <w:pPr>
        <w:pStyle w:val="treb"/>
        <w:numPr>
          <w:ilvl w:val="0"/>
          <w:numId w:val="0"/>
        </w:numPr>
        <w:spacing w:after="0"/>
        <w:rPr>
          <w:rFonts w:ascii="Arial" w:hAnsi="Arial"/>
          <w:b w:val="0"/>
          <w:bCs w:val="0"/>
        </w:rPr>
      </w:pPr>
    </w:p>
    <w:p w:rsidR="00511628" w:rsidP="006D4B5C">
      <w:pPr>
        <w:pStyle w:val="treb"/>
        <w:numPr>
          <w:ilvl w:val="0"/>
          <w:numId w:val="0"/>
        </w:numPr>
        <w:spacing w:after="0"/>
        <w:rPr>
          <w:rFonts w:ascii="Arial" w:hAnsi="Arial"/>
          <w:b w:val="0"/>
          <w:bCs w:val="0"/>
        </w:rPr>
      </w:pPr>
      <w:r>
        <w:rPr>
          <w:rFonts w:ascii="Arial" w:hAnsi="Arial"/>
          <w:b w:val="0"/>
          <w:bCs w:val="0"/>
        </w:rPr>
        <w:t xml:space="preserve">Prioritisation has encompassed a range of influences which shape what is required of LPPI as an asset manager. These include what evolving standards and regulations set as best practice, the themes and issues arising from the assets we are managing, and the responsibilities and interests of our clients as Administering Authorities. </w:t>
      </w:r>
    </w:p>
    <w:p w:rsidR="00511628" w:rsidP="006D4B5C">
      <w:pPr>
        <w:pStyle w:val="treb"/>
        <w:numPr>
          <w:ilvl w:val="0"/>
          <w:numId w:val="0"/>
        </w:numPr>
        <w:spacing w:after="0"/>
        <w:rPr>
          <w:rFonts w:ascii="Arial" w:hAnsi="Arial"/>
          <w:b w:val="0"/>
          <w:bCs w:val="0"/>
        </w:rPr>
      </w:pPr>
    </w:p>
    <w:p w:rsidR="00FB28D6" w:rsidRPr="00FD3F37" w:rsidP="006D4B5C">
      <w:pPr>
        <w:pStyle w:val="treb"/>
        <w:numPr>
          <w:ilvl w:val="0"/>
          <w:numId w:val="0"/>
        </w:numPr>
        <w:spacing w:after="0"/>
        <w:rPr>
          <w:rFonts w:ascii="Arial" w:hAnsi="Arial"/>
          <w:b w:val="0"/>
          <w:bCs w:val="0"/>
        </w:rPr>
      </w:pPr>
      <w:r>
        <w:rPr>
          <w:noProof/>
        </w:rPr>
        <w:drawing>
          <wp:inline distT="0" distB="0" distL="0" distR="0">
            <wp:extent cx="5495925" cy="3336481"/>
            <wp:effectExtent l="19050" t="19050" r="9525"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39819" name=""/>
                    <pic:cNvPicPr/>
                  </pic:nvPicPr>
                  <pic:blipFill rotWithShape="1">
                    <a:blip xmlns:r="http://schemas.openxmlformats.org/officeDocument/2006/relationships" r:embed="rId5"/>
                    <a:srcRect b="13462"/>
                    <a:stretch>
                      <a:fillRect/>
                    </a:stretch>
                  </pic:blipFill>
                  <pic:spPr bwMode="auto">
                    <a:xfrm>
                      <a:off x="0" y="0"/>
                      <a:ext cx="5495925" cy="3336481"/>
                    </a:xfrm>
                    <a:prstGeom prst="rect">
                      <a:avLst/>
                    </a:prstGeom>
                    <a:ln w="9525">
                      <a:solidFill>
                        <a:srgbClr val="4472C4"/>
                      </a:solidFill>
                      <a:round/>
                      <a:headEnd/>
                      <a:tailEnd/>
                    </a:ln>
                    <a:extLst>
                      <a:ext xmlns:a="http://schemas.openxmlformats.org/drawingml/2006/main" uri="{53640926-AAD7-44D8-BBD7-CCE9431645EC}">
                        <a14:shadowObscured xmlns:a14="http://schemas.microsoft.com/office/drawing/2010/main"/>
                      </a:ext>
                    </a:extLst>
                  </pic:spPr>
                </pic:pic>
              </a:graphicData>
            </a:graphic>
          </wp:inline>
        </w:drawing>
      </w:r>
    </w:p>
    <w:p w:rsidR="004A347A" w:rsidP="004A347A">
      <w:pPr>
        <w:pStyle w:val="treb"/>
        <w:numPr>
          <w:ilvl w:val="0"/>
          <w:numId w:val="0"/>
        </w:numPr>
        <w:spacing w:after="0"/>
        <w:rPr>
          <w:rFonts w:ascii="Arial" w:hAnsi="Arial"/>
          <w:b w:val="0"/>
        </w:rPr>
      </w:pPr>
    </w:p>
    <w:p w:rsidR="00511628" w:rsidP="004A347A">
      <w:pPr>
        <w:pStyle w:val="treb"/>
        <w:numPr>
          <w:ilvl w:val="0"/>
          <w:numId w:val="0"/>
        </w:numPr>
        <w:spacing w:after="0"/>
        <w:rPr>
          <w:rFonts w:ascii="Arial" w:hAnsi="Arial"/>
          <w:b w:val="0"/>
        </w:rPr>
      </w:pPr>
      <w:r w:rsidRPr="00840022">
        <w:rPr>
          <w:rFonts w:ascii="Arial" w:hAnsi="Arial"/>
          <w:b w:val="0"/>
        </w:rPr>
        <w:t>The priorities we have identified</w:t>
      </w:r>
      <w:r>
        <w:rPr>
          <w:rFonts w:ascii="Arial" w:hAnsi="Arial"/>
          <w:b w:val="0"/>
        </w:rPr>
        <w:t xml:space="preserve"> span our stewardship activities and our reporting on them, our investment practices, our RI Policy, and portfolio sustainability.</w:t>
      </w:r>
    </w:p>
    <w:p w:rsidR="00F22FD1" w:rsidRPr="00840022" w:rsidP="004A347A">
      <w:pPr>
        <w:pStyle w:val="treb"/>
        <w:numPr>
          <w:ilvl w:val="0"/>
          <w:numId w:val="0"/>
        </w:numPr>
        <w:spacing w:after="0"/>
        <w:rPr>
          <w:rFonts w:ascii="Arial" w:hAnsi="Arial"/>
          <w:b w:val="0"/>
        </w:rPr>
      </w:pPr>
    </w:p>
    <w:p w:rsidR="00511628" w:rsidP="004A347A">
      <w:pPr>
        <w:pStyle w:val="treb"/>
        <w:numPr>
          <w:ilvl w:val="0"/>
          <w:numId w:val="0"/>
        </w:numPr>
        <w:spacing w:after="0"/>
        <w:rPr>
          <w:rFonts w:ascii="Arial" w:hAnsi="Arial"/>
          <w:bCs w:val="0"/>
        </w:rPr>
      </w:pPr>
      <w:r>
        <w:rPr>
          <w:noProof/>
        </w:rPr>
        <w:drawing>
          <wp:inline distT="0" distB="0" distL="0" distR="0">
            <wp:extent cx="5800725" cy="35433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003994" name=""/>
                    <pic:cNvPicPr/>
                  </pic:nvPicPr>
                  <pic:blipFill rotWithShape="1">
                    <a:blip xmlns:r="http://schemas.openxmlformats.org/officeDocument/2006/relationships" r:embed="rId6"/>
                    <a:srcRect b="12265"/>
                    <a:stretch>
                      <a:fillRect/>
                    </a:stretch>
                  </pic:blipFill>
                  <pic:spPr bwMode="auto">
                    <a:xfrm>
                      <a:off x="0" y="0"/>
                      <a:ext cx="5800725" cy="3543300"/>
                    </a:xfrm>
                    <a:prstGeom prst="rect">
                      <a:avLst/>
                    </a:prstGeom>
                    <a:ln w="9525">
                      <a:solidFill>
                        <a:srgbClr val="4472C4"/>
                      </a:solidFill>
                      <a:round/>
                      <a:headEnd/>
                      <a:tailEnd/>
                    </a:ln>
                    <a:extLst>
                      <a:ext xmlns:a="http://schemas.openxmlformats.org/drawingml/2006/main" uri="{53640926-AAD7-44D8-BBD7-CCE9431645EC}">
                        <a14:shadowObscured xmlns:a14="http://schemas.microsoft.com/office/drawing/2010/main"/>
                      </a:ext>
                    </a:extLst>
                  </pic:spPr>
                </pic:pic>
              </a:graphicData>
            </a:graphic>
          </wp:inline>
        </w:drawing>
      </w:r>
    </w:p>
    <w:p w:rsidR="00511628" w:rsidP="004A347A">
      <w:pPr>
        <w:pStyle w:val="treb"/>
        <w:numPr>
          <w:ilvl w:val="0"/>
          <w:numId w:val="0"/>
        </w:numPr>
        <w:spacing w:after="0"/>
        <w:rPr>
          <w:rFonts w:ascii="Arial" w:hAnsi="Arial"/>
          <w:bCs w:val="0"/>
        </w:rPr>
      </w:pPr>
    </w:p>
    <w:p w:rsidR="00D9680C" w:rsidP="004A347A">
      <w:pPr>
        <w:pStyle w:val="treb"/>
        <w:numPr>
          <w:ilvl w:val="0"/>
          <w:numId w:val="0"/>
        </w:numPr>
        <w:spacing w:after="0"/>
        <w:rPr>
          <w:rFonts w:ascii="Arial" w:hAnsi="Arial"/>
          <w:b w:val="0"/>
        </w:rPr>
      </w:pPr>
      <w:r>
        <w:rPr>
          <w:rFonts w:ascii="Arial" w:hAnsi="Arial"/>
          <w:b w:val="0"/>
        </w:rPr>
        <w:t>The emphasis</w:t>
      </w:r>
      <w:r w:rsidRPr="00D9680C">
        <w:rPr>
          <w:rFonts w:ascii="Arial" w:hAnsi="Arial"/>
          <w:b w:val="0"/>
        </w:rPr>
        <w:t xml:space="preserve"> on transparency reflects </w:t>
      </w:r>
      <w:r>
        <w:rPr>
          <w:rFonts w:ascii="Arial" w:hAnsi="Arial"/>
          <w:b w:val="0"/>
        </w:rPr>
        <w:t xml:space="preserve">that we aim to </w:t>
      </w:r>
      <w:r w:rsidRPr="00D9680C">
        <w:rPr>
          <w:rFonts w:ascii="Arial" w:hAnsi="Arial"/>
          <w:b w:val="0"/>
        </w:rPr>
        <w:t>continu</w:t>
      </w:r>
      <w:r>
        <w:rPr>
          <w:rFonts w:ascii="Arial" w:hAnsi="Arial"/>
          <w:b w:val="0"/>
        </w:rPr>
        <w:t xml:space="preserve">e current </w:t>
      </w:r>
      <w:r w:rsidRPr="00D9680C">
        <w:rPr>
          <w:rFonts w:ascii="Arial" w:hAnsi="Arial"/>
          <w:b w:val="0"/>
        </w:rPr>
        <w:t xml:space="preserve">efforts to improve </w:t>
      </w:r>
      <w:r>
        <w:rPr>
          <w:rFonts w:ascii="Arial" w:hAnsi="Arial"/>
          <w:b w:val="0"/>
        </w:rPr>
        <w:t xml:space="preserve">reporting to clients </w:t>
      </w:r>
      <w:r w:rsidRPr="00D9680C">
        <w:rPr>
          <w:rFonts w:ascii="Arial" w:hAnsi="Arial"/>
          <w:b w:val="0"/>
        </w:rPr>
        <w:t xml:space="preserve">on our </w:t>
      </w:r>
      <w:r>
        <w:rPr>
          <w:rFonts w:ascii="Arial" w:hAnsi="Arial"/>
          <w:b w:val="0"/>
        </w:rPr>
        <w:t>stewardship of their assets and to expand our disclosure to wider stakeholders through the information we share within public reporting.</w:t>
      </w:r>
    </w:p>
    <w:p w:rsidR="00D9680C" w:rsidRPr="00D9680C" w:rsidP="004A347A">
      <w:pPr>
        <w:pStyle w:val="treb"/>
        <w:numPr>
          <w:ilvl w:val="0"/>
          <w:numId w:val="0"/>
        </w:numPr>
        <w:spacing w:after="0"/>
        <w:rPr>
          <w:rFonts w:ascii="Arial" w:hAnsi="Arial"/>
          <w:b w:val="0"/>
        </w:rPr>
      </w:pPr>
    </w:p>
    <w:p w:rsidR="00511628" w:rsidP="004A347A">
      <w:pPr>
        <w:pStyle w:val="treb"/>
        <w:numPr>
          <w:ilvl w:val="0"/>
          <w:numId w:val="0"/>
        </w:numPr>
        <w:spacing w:after="0"/>
        <w:rPr>
          <w:rFonts w:ascii="Arial" w:hAnsi="Arial"/>
          <w:bCs w:val="0"/>
        </w:rPr>
      </w:pPr>
      <w:r>
        <w:rPr>
          <w:noProof/>
        </w:rPr>
        <w:drawing>
          <wp:inline distT="0" distB="0" distL="0" distR="0">
            <wp:extent cx="5790564" cy="3305175"/>
            <wp:effectExtent l="19050" t="19050" r="203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600512" name=""/>
                    <pic:cNvPicPr/>
                  </pic:nvPicPr>
                  <pic:blipFill rotWithShape="1">
                    <a:blip xmlns:r="http://schemas.openxmlformats.org/officeDocument/2006/relationships" r:embed="rId7"/>
                    <a:srcRect t="12101" b="15126"/>
                    <a:stretch>
                      <a:fillRect/>
                    </a:stretch>
                  </pic:blipFill>
                  <pic:spPr bwMode="auto">
                    <a:xfrm>
                      <a:off x="0" y="0"/>
                      <a:ext cx="5799449" cy="3310246"/>
                    </a:xfrm>
                    <a:prstGeom prst="rect">
                      <a:avLst/>
                    </a:prstGeom>
                    <a:ln w="9525">
                      <a:solidFill>
                        <a:srgbClr val="4472C4"/>
                      </a:solidFill>
                      <a:round/>
                      <a:headEnd/>
                      <a:tailEnd/>
                    </a:ln>
                    <a:extLst>
                      <a:ext xmlns:a="http://schemas.openxmlformats.org/drawingml/2006/main" uri="{53640926-AAD7-44D8-BBD7-CCE9431645EC}">
                        <a14:shadowObscured xmlns:a14="http://schemas.microsoft.com/office/drawing/2010/main"/>
                      </a:ext>
                    </a:extLst>
                  </pic:spPr>
                </pic:pic>
              </a:graphicData>
            </a:graphic>
          </wp:inline>
        </w:drawing>
      </w:r>
    </w:p>
    <w:p w:rsidR="00C753C8" w:rsidP="004A347A">
      <w:pPr>
        <w:pStyle w:val="treb"/>
        <w:numPr>
          <w:ilvl w:val="0"/>
          <w:numId w:val="0"/>
        </w:numPr>
        <w:spacing w:after="0"/>
        <w:rPr>
          <w:rFonts w:ascii="Arial" w:hAnsi="Arial"/>
          <w:b w:val="0"/>
        </w:rPr>
      </w:pPr>
    </w:p>
    <w:p w:rsidR="00F22FD1" w:rsidP="004A347A">
      <w:pPr>
        <w:pStyle w:val="treb"/>
        <w:numPr>
          <w:ilvl w:val="0"/>
          <w:numId w:val="0"/>
        </w:numPr>
        <w:spacing w:after="0"/>
        <w:rPr>
          <w:rFonts w:ascii="Arial" w:hAnsi="Arial"/>
          <w:b w:val="0"/>
        </w:rPr>
      </w:pPr>
      <w:r>
        <w:rPr>
          <w:rFonts w:ascii="Arial" w:hAnsi="Arial"/>
          <w:b w:val="0"/>
        </w:rPr>
        <w:t>The focus on systematic ESG integration reflects our continuing effort to ensure our core investment processes embed the evaluation and monitoring of Manager ESG competencies and understand the ESG risks and opportunities</w:t>
      </w:r>
      <w:r w:rsidRPr="00F222FB">
        <w:rPr>
          <w:rFonts w:ascii="Arial" w:hAnsi="Arial"/>
          <w:b w:val="0"/>
        </w:rPr>
        <w:t xml:space="preserve"> </w:t>
      </w:r>
      <w:r>
        <w:rPr>
          <w:rFonts w:ascii="Arial" w:hAnsi="Arial"/>
          <w:b w:val="0"/>
        </w:rPr>
        <w:t xml:space="preserve">the portfolio encompasses. </w:t>
      </w:r>
    </w:p>
    <w:p w:rsidR="00F22FD1" w:rsidP="004A347A">
      <w:pPr>
        <w:pStyle w:val="treb"/>
        <w:numPr>
          <w:ilvl w:val="0"/>
          <w:numId w:val="0"/>
        </w:numPr>
        <w:spacing w:after="0"/>
        <w:rPr>
          <w:rFonts w:ascii="Arial" w:hAnsi="Arial"/>
          <w:b w:val="0"/>
        </w:rPr>
      </w:pPr>
    </w:p>
    <w:p w:rsidR="00150567" w:rsidP="004A347A">
      <w:pPr>
        <w:pStyle w:val="treb"/>
        <w:numPr>
          <w:ilvl w:val="0"/>
          <w:numId w:val="0"/>
        </w:numPr>
        <w:spacing w:after="0"/>
        <w:rPr>
          <w:rFonts w:ascii="Arial" w:hAnsi="Arial"/>
          <w:b w:val="0"/>
        </w:rPr>
      </w:pPr>
      <w:r w:rsidRPr="00D10862">
        <w:rPr>
          <w:rFonts w:ascii="Arial" w:hAnsi="Arial"/>
          <w:b w:val="0"/>
        </w:rPr>
        <w:t>A focus on the S in ESG</w:t>
      </w:r>
      <w:r>
        <w:rPr>
          <w:rFonts w:ascii="Arial" w:hAnsi="Arial"/>
          <w:b w:val="0"/>
        </w:rPr>
        <w:t xml:space="preserve"> recognises the dominance climate change has had an </w:t>
      </w:r>
      <w:r>
        <w:rPr>
          <w:rFonts w:ascii="Arial" w:hAnsi="Arial"/>
          <w:b w:val="0"/>
        </w:rPr>
        <w:t>investor  priority</w:t>
      </w:r>
      <w:r>
        <w:rPr>
          <w:rFonts w:ascii="Arial" w:hAnsi="Arial"/>
          <w:b w:val="0"/>
        </w:rPr>
        <w:t xml:space="preserve"> and the relative subordination of social issues by comparison. This is an imbalance COVID 19 has shown us requires redress. The pandemic has</w:t>
      </w:r>
      <w:r w:rsidRPr="00D10862">
        <w:rPr>
          <w:rFonts w:ascii="Arial" w:hAnsi="Arial"/>
          <w:b w:val="0"/>
        </w:rPr>
        <w:t xml:space="preserve"> demonstrat</w:t>
      </w:r>
      <w:r>
        <w:rPr>
          <w:rFonts w:ascii="Arial" w:hAnsi="Arial"/>
          <w:b w:val="0"/>
        </w:rPr>
        <w:t>ed</w:t>
      </w:r>
      <w:r w:rsidRPr="00D10862">
        <w:rPr>
          <w:rFonts w:ascii="Arial" w:hAnsi="Arial"/>
          <w:b w:val="0"/>
        </w:rPr>
        <w:t xml:space="preserve"> connectivity between the global economy, the welfare of society and the natural environment’s capacity to sustain both</w:t>
      </w:r>
      <w:r>
        <w:rPr>
          <w:rFonts w:ascii="Arial" w:hAnsi="Arial"/>
          <w:b w:val="0"/>
        </w:rPr>
        <w:t xml:space="preserve"> and has brought a stronger spotlight to a range of existing issues including diversity and inclusion, in work poverty, inequality of opportunity and pay, and respect for human rights. Our focus on S will include developing an annex to LPPI’s RI Policy related to Human Rights responsibilities in an investment context. </w:t>
      </w:r>
    </w:p>
    <w:p w:rsidR="00376292" w:rsidP="004A347A">
      <w:pPr>
        <w:pStyle w:val="treb"/>
        <w:numPr>
          <w:ilvl w:val="0"/>
          <w:numId w:val="0"/>
        </w:numPr>
        <w:spacing w:after="0"/>
        <w:rPr>
          <w:rFonts w:ascii="Arial" w:hAnsi="Arial"/>
          <w:b w:val="0"/>
        </w:rPr>
      </w:pPr>
    </w:p>
    <w:p w:rsidR="00376292" w:rsidP="004A347A">
      <w:pPr>
        <w:pStyle w:val="treb"/>
        <w:numPr>
          <w:ilvl w:val="0"/>
          <w:numId w:val="0"/>
        </w:numPr>
        <w:spacing w:after="0"/>
        <w:rPr>
          <w:rFonts w:ascii="Arial" w:hAnsi="Arial"/>
          <w:b w:val="0"/>
        </w:rPr>
      </w:pPr>
      <w:r>
        <w:rPr>
          <w:rFonts w:ascii="Arial" w:hAnsi="Arial"/>
          <w:b w:val="0"/>
        </w:rPr>
        <w:t>Climate change and portfolio sustainability relate to deciding LPPI’s stance (as an asset manager) on the Net Zero by 2050 agenda.  Considerable work is envisaged as part of scoping and delivering an approach to sustainable investment which addresses the implications (for investors) of a growing momentum to achieve an environmentally sustainable global economic model through just and ordered transition away from fossil fuel dependency within a very constrained time period.</w:t>
      </w:r>
    </w:p>
    <w:p w:rsidR="00511628" w:rsidP="004A347A">
      <w:pPr>
        <w:pStyle w:val="treb"/>
        <w:numPr>
          <w:ilvl w:val="0"/>
          <w:numId w:val="0"/>
        </w:numPr>
        <w:spacing w:after="0"/>
        <w:rPr>
          <w:rFonts w:ascii="Arial" w:hAnsi="Arial"/>
          <w:bCs w:val="0"/>
        </w:rPr>
      </w:pPr>
    </w:p>
    <w:p w:rsidR="00EE615F" w:rsidP="004A347A">
      <w:pPr>
        <w:pStyle w:val="treb"/>
        <w:numPr>
          <w:ilvl w:val="0"/>
          <w:numId w:val="0"/>
        </w:numPr>
        <w:spacing w:after="0"/>
        <w:rPr>
          <w:rFonts w:ascii="Arial" w:hAnsi="Arial"/>
          <w:bCs w:val="0"/>
        </w:rPr>
      </w:pPr>
      <w:r>
        <w:rPr>
          <w:rFonts w:ascii="Arial" w:hAnsi="Arial"/>
          <w:bCs w:val="0"/>
        </w:rPr>
        <w:t>Pension Fund Trustees and Consideration of Social Risks</w:t>
      </w:r>
    </w:p>
    <w:p w:rsidR="00EE615F" w:rsidP="00EE615F">
      <w:pPr>
        <w:shd w:val="clear" w:color="auto" w:fill="FFFFFF"/>
        <w:spacing w:after="0" w:line="240" w:lineRule="auto"/>
        <w:rPr>
          <w:rFonts w:ascii="Arial" w:hAnsi="Arial" w:cs="Arial"/>
          <w:bCs/>
        </w:rPr>
      </w:pPr>
    </w:p>
    <w:p w:rsidR="00EE615F" w:rsidP="00EE615F">
      <w:pPr>
        <w:shd w:val="clear" w:color="auto" w:fill="FFFFFF"/>
        <w:spacing w:after="0" w:line="240" w:lineRule="auto"/>
        <w:rPr>
          <w:rFonts w:ascii="Arial" w:hAnsi="Arial" w:cs="Arial"/>
          <w:bCs/>
        </w:rPr>
      </w:pPr>
      <w:r>
        <w:rPr>
          <w:rFonts w:ascii="Arial" w:hAnsi="Arial" w:cs="Arial"/>
          <w:bCs/>
        </w:rPr>
        <w:t>In March, t</w:t>
      </w:r>
      <w:r w:rsidRPr="00EE615F">
        <w:rPr>
          <w:rFonts w:ascii="Arial" w:hAnsi="Arial" w:cs="Arial"/>
          <w:bCs/>
        </w:rPr>
        <w:t>he DWP</w:t>
      </w:r>
      <w:r w:rsidRPr="00EE615F">
        <w:rPr>
          <w:rStyle w:val="FootnoteReference"/>
          <w:rFonts w:ascii="Arial" w:hAnsi="Arial" w:cs="Arial"/>
          <w:color w:val="009999"/>
        </w:rPr>
        <w:t xml:space="preserve"> R</w:t>
      </w:r>
      <w:r w:rsidRPr="00EE615F">
        <w:rPr>
          <w:rFonts w:ascii="Arial" w:hAnsi="Arial" w:cs="Arial"/>
          <w:bCs/>
        </w:rPr>
        <w:t xml:space="preserve"> launched </w:t>
      </w:r>
      <w:r>
        <w:rPr>
          <w:rFonts w:ascii="Arial" w:hAnsi="Arial" w:cs="Arial"/>
          <w:bCs/>
        </w:rPr>
        <w:t>a</w:t>
      </w:r>
      <w:r w:rsidRPr="00EE615F">
        <w:rPr>
          <w:rFonts w:ascii="Arial" w:hAnsi="Arial" w:cs="Arial"/>
          <w:bCs/>
        </w:rPr>
        <w:t xml:space="preserve"> 12-week </w:t>
      </w:r>
      <w:r>
        <w:fldChar w:fldCharType="begin"/>
      </w:r>
      <w:r>
        <w:instrText xml:space="preserve"> HYPERLINK "https://www.gov.uk/government/consultations/consideration-of-social-risks-and-opportunities-by-occupational-pension-schemes" </w:instrText>
      </w:r>
      <w:r>
        <w:fldChar w:fldCharType="separate"/>
      </w:r>
      <w:r w:rsidRPr="00EE615F">
        <w:rPr>
          <w:rStyle w:val="Hyperlink"/>
          <w:rFonts w:ascii="Arial" w:hAnsi="Arial" w:cs="Arial"/>
          <w:bCs/>
        </w:rPr>
        <w:t>Call for Evidence</w:t>
      </w:r>
      <w:r>
        <w:fldChar w:fldCharType="end"/>
      </w:r>
      <w:r w:rsidRPr="00EE615F">
        <w:rPr>
          <w:rFonts w:ascii="Arial" w:hAnsi="Arial" w:cs="Arial"/>
          <w:bCs/>
        </w:rPr>
        <w:t xml:space="preserve"> seek</w:t>
      </w:r>
      <w:r>
        <w:rPr>
          <w:rFonts w:ascii="Arial" w:hAnsi="Arial" w:cs="Arial"/>
          <w:bCs/>
        </w:rPr>
        <w:t>ing</w:t>
      </w:r>
      <w:r w:rsidRPr="00EE615F">
        <w:rPr>
          <w:rFonts w:ascii="Arial" w:hAnsi="Arial" w:cs="Arial"/>
          <w:bCs/>
        </w:rPr>
        <w:t xml:space="preserve"> views on how </w:t>
      </w:r>
      <w:r>
        <w:rPr>
          <w:rFonts w:ascii="Arial" w:hAnsi="Arial" w:cs="Arial"/>
          <w:bCs/>
        </w:rPr>
        <w:t xml:space="preserve">well </w:t>
      </w:r>
      <w:r w:rsidRPr="00EE615F">
        <w:rPr>
          <w:rFonts w:ascii="Arial" w:hAnsi="Arial" w:cs="Arial"/>
          <w:bCs/>
        </w:rPr>
        <w:t>pension scheme trustees understand social factors and how the</w:t>
      </w:r>
      <w:r>
        <w:rPr>
          <w:rFonts w:ascii="Arial" w:hAnsi="Arial" w:cs="Arial"/>
          <w:bCs/>
        </w:rPr>
        <w:t>se considerations</w:t>
      </w:r>
      <w:r w:rsidRPr="00EE615F">
        <w:rPr>
          <w:rFonts w:ascii="Arial" w:hAnsi="Arial" w:cs="Arial"/>
          <w:bCs/>
        </w:rPr>
        <w:t xml:space="preserve"> are </w:t>
      </w:r>
      <w:r>
        <w:rPr>
          <w:rFonts w:ascii="Arial" w:hAnsi="Arial" w:cs="Arial"/>
          <w:bCs/>
        </w:rPr>
        <w:t>reflected</w:t>
      </w:r>
      <w:r w:rsidRPr="00EE615F">
        <w:rPr>
          <w:rFonts w:ascii="Arial" w:hAnsi="Arial" w:cs="Arial"/>
          <w:bCs/>
        </w:rPr>
        <w:t xml:space="preserve"> in Environmental, Social, and Governance (ESG) policies.</w:t>
      </w:r>
    </w:p>
    <w:p w:rsidR="00EE615F" w:rsidP="00EE615F">
      <w:pPr>
        <w:shd w:val="clear" w:color="auto" w:fill="FFFFFF"/>
        <w:spacing w:after="0" w:line="240" w:lineRule="auto"/>
        <w:rPr>
          <w:rFonts w:ascii="Arial" w:hAnsi="Arial" w:cs="Arial"/>
          <w:bCs/>
        </w:rPr>
      </w:pPr>
    </w:p>
    <w:p w:rsidR="00CE52E7" w:rsidP="00EE615F">
      <w:pPr>
        <w:rPr>
          <w:rFonts w:ascii="Arial" w:hAnsi="Arial" w:cs="Arial"/>
          <w:bCs/>
        </w:rPr>
      </w:pPr>
      <w:r>
        <w:rPr>
          <w:rFonts w:ascii="Arial" w:hAnsi="Arial" w:cs="Arial"/>
          <w:bCs/>
        </w:rPr>
        <w:t>The call reflects that s</w:t>
      </w:r>
      <w:r w:rsidRPr="00EE615F">
        <w:rPr>
          <w:rFonts w:ascii="Arial" w:hAnsi="Arial" w:cs="Arial"/>
          <w:bCs/>
        </w:rPr>
        <w:t xml:space="preserve">ocial factors can present a wide range of potential risks to </w:t>
      </w:r>
      <w:r>
        <w:rPr>
          <w:rFonts w:ascii="Arial" w:hAnsi="Arial" w:cs="Arial"/>
          <w:bCs/>
        </w:rPr>
        <w:t xml:space="preserve">pension </w:t>
      </w:r>
      <w:r w:rsidRPr="00EE615F">
        <w:rPr>
          <w:rFonts w:ascii="Arial" w:hAnsi="Arial" w:cs="Arial"/>
          <w:bCs/>
        </w:rPr>
        <w:t>scheme investments but can also pr</w:t>
      </w:r>
      <w:r>
        <w:rPr>
          <w:rFonts w:ascii="Arial" w:hAnsi="Arial" w:cs="Arial"/>
          <w:bCs/>
        </w:rPr>
        <w:t xml:space="preserve">oduce </w:t>
      </w:r>
      <w:r w:rsidRPr="00EE615F">
        <w:rPr>
          <w:rFonts w:ascii="Arial" w:hAnsi="Arial" w:cs="Arial"/>
          <w:bCs/>
        </w:rPr>
        <w:t>investment opportunities.</w:t>
      </w:r>
      <w:r>
        <w:rPr>
          <w:rFonts w:ascii="Arial" w:hAnsi="Arial" w:cs="Arial"/>
          <w:bCs/>
        </w:rPr>
        <w:t xml:space="preserve"> The DWP questions </w:t>
      </w:r>
      <w:r w:rsidRPr="00CE52E7">
        <w:rPr>
          <w:rFonts w:ascii="Arial" w:hAnsi="Arial" w:cs="Arial"/>
          <w:bCs/>
        </w:rPr>
        <w:t>the effectiveness of occupational pension scheme trustees’ current policies and practices in relation to social factors</w:t>
      </w:r>
      <w:r>
        <w:rPr>
          <w:rFonts w:ascii="Arial" w:hAnsi="Arial" w:cs="Arial"/>
          <w:bCs/>
        </w:rPr>
        <w:t xml:space="preserve"> and asks for more information as part of deciding whether measures to improve standards are necessary.</w:t>
      </w:r>
    </w:p>
    <w:p w:rsidR="00F93E12" w:rsidP="00CE52E7">
      <w:pPr>
        <w:rPr>
          <w:rFonts w:ascii="Arial" w:hAnsi="Arial" w:cs="Arial"/>
          <w:bCs/>
        </w:rPr>
      </w:pPr>
      <w:r w:rsidRPr="00CE52E7">
        <w:rPr>
          <w:rFonts w:ascii="Arial" w:hAnsi="Arial" w:cs="Arial"/>
          <w:bCs/>
        </w:rPr>
        <w:t xml:space="preserve">Responses </w:t>
      </w:r>
      <w:r>
        <w:rPr>
          <w:rFonts w:ascii="Arial" w:hAnsi="Arial" w:cs="Arial"/>
          <w:bCs/>
        </w:rPr>
        <w:t>are being invited to “</w:t>
      </w:r>
      <w:r w:rsidRPr="00CE52E7">
        <w:rPr>
          <w:rFonts w:ascii="Arial" w:hAnsi="Arial" w:cs="Arial"/>
          <w:bCs/>
        </w:rPr>
        <w:t>help inform Government on steps needed to ensure trustees are able to meet their legal ESG obligations</w:t>
      </w:r>
      <w:r>
        <w:rPr>
          <w:rFonts w:ascii="Arial" w:hAnsi="Arial" w:cs="Arial"/>
          <w:bCs/>
        </w:rPr>
        <w:t>”</w:t>
      </w:r>
      <w:r w:rsidRPr="00CE52E7">
        <w:rPr>
          <w:rFonts w:ascii="Arial" w:hAnsi="Arial" w:cs="Arial"/>
          <w:bCs/>
        </w:rPr>
        <w:t>.</w:t>
      </w:r>
      <w:r>
        <w:rPr>
          <w:rFonts w:ascii="Arial" w:hAnsi="Arial" w:cs="Arial"/>
          <w:bCs/>
        </w:rPr>
        <w:t xml:space="preserve"> </w:t>
      </w:r>
    </w:p>
    <w:p w:rsidR="00CE52E7" w:rsidRPr="00CE52E7" w:rsidP="00CE52E7">
      <w:pPr>
        <w:rPr>
          <w:rFonts w:ascii="Arial" w:hAnsi="Arial" w:cs="Arial"/>
          <w:bCs/>
        </w:rPr>
      </w:pPr>
      <w:r>
        <w:rPr>
          <w:rFonts w:ascii="Arial" w:hAnsi="Arial" w:cs="Arial"/>
          <w:bCs/>
        </w:rPr>
        <w:t>Whilst the Call for Evidence relates specifically to trust-based pension schemes there is a strong likelihood any recommendations arising as a result of the review will be considered equally applicable to Administering Authorities for LGPS schemes.</w:t>
      </w:r>
    </w:p>
    <w:p w:rsidR="00CE52E7" w:rsidP="00EE615F">
      <w:pPr>
        <w:rPr>
          <w:rFonts w:ascii="Arial" w:hAnsi="Arial" w:cs="Arial"/>
          <w:bCs/>
        </w:rPr>
      </w:pPr>
      <w:r w:rsidRPr="00CE52E7">
        <w:rPr>
          <w:rFonts w:ascii="Arial" w:hAnsi="Arial" w:cs="Arial"/>
          <w:bCs/>
        </w:rPr>
        <w:t xml:space="preserve">The Call for Evidence period </w:t>
      </w:r>
      <w:r>
        <w:rPr>
          <w:rFonts w:ascii="Arial" w:hAnsi="Arial" w:cs="Arial"/>
          <w:bCs/>
        </w:rPr>
        <w:t>runs from</w:t>
      </w:r>
      <w:r w:rsidRPr="00CE52E7">
        <w:rPr>
          <w:rFonts w:ascii="Arial" w:hAnsi="Arial" w:cs="Arial"/>
          <w:bCs/>
        </w:rPr>
        <w:t xml:space="preserve"> 24 March 2021 and </w:t>
      </w:r>
      <w:r>
        <w:rPr>
          <w:rFonts w:ascii="Arial" w:hAnsi="Arial" w:cs="Arial"/>
          <w:bCs/>
        </w:rPr>
        <w:t>concludes</w:t>
      </w:r>
      <w:r w:rsidRPr="00CE52E7">
        <w:rPr>
          <w:rFonts w:ascii="Arial" w:hAnsi="Arial" w:cs="Arial"/>
          <w:bCs/>
        </w:rPr>
        <w:t xml:space="preserve"> 16 June 2021.</w:t>
      </w:r>
      <w:r>
        <w:rPr>
          <w:rFonts w:ascii="Arial" w:hAnsi="Arial" w:cs="Arial"/>
          <w:bCs/>
        </w:rPr>
        <w:t xml:space="preserve"> LPPI will be making a response on behalf of the Partnership from an LGPS perspective. </w:t>
      </w:r>
    </w:p>
    <w:p w:rsidR="00C35B2A" w:rsidP="00C35B2A">
      <w:pPr>
        <w:pStyle w:val="treb"/>
        <w:numPr>
          <w:ilvl w:val="0"/>
          <w:numId w:val="0"/>
        </w:numPr>
        <w:spacing w:after="0"/>
        <w:rPr>
          <w:rFonts w:ascii="Arial" w:hAnsi="Arial"/>
          <w:b w:val="0"/>
        </w:rPr>
      </w:pPr>
    </w:p>
    <w:p w:rsidR="00C35B2A" w:rsidRPr="001B0B08" w:rsidP="00C35B2A">
      <w:pPr>
        <w:pStyle w:val="treb"/>
        <w:numPr>
          <w:ilvl w:val="0"/>
          <w:numId w:val="0"/>
        </w:numPr>
        <w:spacing w:after="0"/>
        <w:rPr>
          <w:rFonts w:ascii="Arial" w:hAnsi="Arial"/>
          <w:bCs w:val="0"/>
        </w:rPr>
      </w:pPr>
      <w:r w:rsidRPr="001B0B08">
        <w:rPr>
          <w:rFonts w:ascii="Arial" w:hAnsi="Arial"/>
          <w:bCs w:val="0"/>
        </w:rPr>
        <w:t>LGPS Divest</w:t>
      </w:r>
    </w:p>
    <w:p w:rsidR="00C35B2A" w:rsidRPr="001B0B08" w:rsidP="00C35B2A">
      <w:pPr>
        <w:pStyle w:val="treb"/>
        <w:numPr>
          <w:ilvl w:val="0"/>
          <w:numId w:val="0"/>
        </w:numPr>
        <w:spacing w:after="0"/>
        <w:rPr>
          <w:rFonts w:ascii="Arial" w:hAnsi="Arial"/>
          <w:bCs w:val="0"/>
        </w:rPr>
      </w:pPr>
    </w:p>
    <w:p w:rsidR="002474C4" w:rsidRPr="001B0B08" w:rsidP="00C35B2A">
      <w:pPr>
        <w:pStyle w:val="treb"/>
        <w:numPr>
          <w:ilvl w:val="0"/>
          <w:numId w:val="0"/>
        </w:numPr>
        <w:spacing w:after="0"/>
        <w:rPr>
          <w:rFonts w:ascii="Arial" w:hAnsi="Arial"/>
          <w:b w:val="0"/>
        </w:rPr>
      </w:pPr>
      <w:r w:rsidRPr="001B0B08">
        <w:rPr>
          <w:rFonts w:ascii="Arial" w:hAnsi="Arial"/>
          <w:b w:val="0"/>
        </w:rPr>
        <w:t xml:space="preserve">An-internet based letter campaign specifically targeting the LGPS is underway by the Palestine Solidarity Campaign (PSC).  The LGPS Divest campaign enables interested parties to input their postcode and customise a standard letter which is automatically emailed to their local councillor. </w:t>
      </w:r>
    </w:p>
    <w:p w:rsidR="002474C4" w:rsidRPr="001B0B08" w:rsidP="00C35B2A">
      <w:pPr>
        <w:pStyle w:val="treb"/>
        <w:numPr>
          <w:ilvl w:val="0"/>
          <w:numId w:val="0"/>
        </w:numPr>
        <w:spacing w:after="0"/>
        <w:rPr>
          <w:rFonts w:ascii="Arial" w:hAnsi="Arial"/>
          <w:b w:val="0"/>
        </w:rPr>
      </w:pPr>
    </w:p>
    <w:p w:rsidR="002474C4" w:rsidRPr="001B0B08" w:rsidP="00C35B2A">
      <w:pPr>
        <w:pStyle w:val="treb"/>
        <w:numPr>
          <w:ilvl w:val="0"/>
          <w:numId w:val="0"/>
        </w:numPr>
        <w:spacing w:after="0"/>
        <w:rPr>
          <w:rFonts w:ascii="Arial" w:hAnsi="Arial"/>
          <w:b w:val="0"/>
        </w:rPr>
      </w:pPr>
      <w:r w:rsidRPr="001B0B08">
        <w:rPr>
          <w:rFonts w:ascii="Arial" w:hAnsi="Arial"/>
          <w:b w:val="0"/>
        </w:rPr>
        <w:t>Letters call on local councillors to use their influence to divest LGPS pension funds of investments in companies which provide products, equipment, and services described as “essential to Israel maintaining its grave violations of Palestinian rights”.</w:t>
      </w:r>
    </w:p>
    <w:p w:rsidR="00100E68" w:rsidRPr="001B0B08" w:rsidP="00C35B2A">
      <w:pPr>
        <w:pStyle w:val="treb"/>
        <w:numPr>
          <w:ilvl w:val="0"/>
          <w:numId w:val="0"/>
        </w:numPr>
        <w:spacing w:after="0"/>
        <w:rPr>
          <w:rFonts w:ascii="Arial" w:hAnsi="Arial"/>
          <w:b w:val="0"/>
        </w:rPr>
      </w:pPr>
    </w:p>
    <w:p w:rsidR="00100E68" w:rsidRPr="001B0B08" w:rsidP="00C35B2A">
      <w:pPr>
        <w:pStyle w:val="treb"/>
        <w:numPr>
          <w:ilvl w:val="0"/>
          <w:numId w:val="0"/>
        </w:numPr>
        <w:spacing w:after="0"/>
        <w:rPr>
          <w:rFonts w:ascii="Arial" w:hAnsi="Arial"/>
          <w:b w:val="0"/>
        </w:rPr>
      </w:pPr>
      <w:r w:rsidRPr="001B0B08">
        <w:rPr>
          <w:rFonts w:ascii="Arial" w:hAnsi="Arial"/>
          <w:b w:val="0"/>
        </w:rPr>
        <w:t xml:space="preserve">PSC are the campaign group which successfully challenged the Government’s guidance to LGPS funds that they “Should not pursue [ESG] policies that are contrary to UK foreign policy or UK defence policy”. </w:t>
      </w:r>
    </w:p>
    <w:p w:rsidR="002474C4" w:rsidRPr="001B0B08" w:rsidP="00C35B2A">
      <w:pPr>
        <w:pStyle w:val="treb"/>
        <w:numPr>
          <w:ilvl w:val="0"/>
          <w:numId w:val="0"/>
        </w:numPr>
        <w:spacing w:after="0"/>
        <w:rPr>
          <w:rFonts w:ascii="Arial" w:hAnsi="Arial"/>
          <w:b w:val="0"/>
        </w:rPr>
      </w:pPr>
    </w:p>
    <w:p w:rsidR="002474C4" w:rsidP="00C35B2A">
      <w:pPr>
        <w:pStyle w:val="treb"/>
        <w:numPr>
          <w:ilvl w:val="0"/>
          <w:numId w:val="0"/>
        </w:numPr>
        <w:spacing w:after="0"/>
        <w:rPr>
          <w:rFonts w:ascii="Arial" w:hAnsi="Arial"/>
          <w:b w:val="0"/>
        </w:rPr>
      </w:pPr>
      <w:r w:rsidRPr="001B0B08">
        <w:rPr>
          <w:rFonts w:ascii="Arial" w:hAnsi="Arial"/>
          <w:b w:val="0"/>
        </w:rPr>
        <w:t>LPPI has produced a client briefing paper providing further information on the campaign and the issues it raises to support pension funds who are considering their position preparatory to making a response to any letters they have received.</w:t>
      </w:r>
    </w:p>
    <w:p w:rsidR="0092279D" w:rsidRPr="002474C4" w:rsidP="0008784A">
      <w:pPr>
        <w:spacing w:after="0"/>
        <w:rPr>
          <w:rFonts w:ascii="Arial" w:hAnsi="Arial" w:cs="Arial"/>
          <w:bCs/>
        </w:rPr>
      </w:pPr>
    </w:p>
    <w:p w:rsidR="00100E68" w:rsidP="0008784A">
      <w:pPr>
        <w:spacing w:after="0"/>
        <w:rPr>
          <w:rFonts w:ascii="Arial" w:hAnsi="Arial" w:cs="Arial"/>
          <w:b/>
          <w:bCs/>
          <w:color w:val="54BBAB"/>
        </w:rPr>
      </w:pPr>
    </w:p>
    <w:p w:rsidR="006E3043" w:rsidRPr="005022E8" w:rsidP="0008784A">
      <w:pPr>
        <w:spacing w:after="0"/>
        <w:rPr>
          <w:rFonts w:ascii="Arial" w:hAnsi="Arial" w:cs="Arial"/>
          <w:b/>
          <w:bCs/>
          <w:color w:val="54BBAB"/>
        </w:rPr>
      </w:pPr>
      <w:r w:rsidRPr="005022E8">
        <w:rPr>
          <w:rFonts w:ascii="Arial" w:hAnsi="Arial" w:cs="Arial"/>
          <w:b/>
          <w:bCs/>
          <w:color w:val="54BBAB"/>
        </w:rPr>
        <w:t xml:space="preserve">For Reference </w:t>
      </w:r>
    </w:p>
    <w:p w:rsidR="00D21C51" w:rsidP="0008784A">
      <w:pPr>
        <w:spacing w:after="0"/>
        <w:rPr>
          <w:rStyle w:val="normaltextrun"/>
          <w:rFonts w:ascii="Arial" w:hAnsi="Arial" w:cs="Arial"/>
          <w:b/>
          <w:bCs/>
          <w:color w:val="000000"/>
          <w:shd w:val="clear" w:color="auto" w:fill="FFFFFF"/>
        </w:rPr>
      </w:pPr>
    </w:p>
    <w:p w:rsidR="00B16168" w:rsidRPr="00F877EC" w:rsidP="00B16168">
      <w:pPr>
        <w:spacing w:after="0"/>
        <w:rPr>
          <w:rStyle w:val="normaltextrun"/>
          <w:rFonts w:ascii="Arial" w:hAnsi="Arial" w:cs="Arial"/>
          <w:b/>
          <w:bCs/>
          <w:color w:val="000000"/>
          <w:shd w:val="clear" w:color="auto" w:fill="FFFFFF"/>
        </w:rPr>
      </w:pPr>
      <w:r w:rsidRPr="00F877EC">
        <w:rPr>
          <w:rStyle w:val="normaltextrun"/>
          <w:rFonts w:ascii="Arial" w:hAnsi="Arial" w:cs="Arial"/>
          <w:b/>
          <w:bCs/>
          <w:color w:val="000000"/>
          <w:shd w:val="clear" w:color="auto" w:fill="FFFFFF"/>
        </w:rPr>
        <w:t>GICS -</w:t>
      </w:r>
      <w:r>
        <w:rPr>
          <w:rStyle w:val="normaltextrun"/>
          <w:rFonts w:ascii="Arial" w:hAnsi="Arial" w:cs="Arial"/>
          <w:b/>
          <w:bCs/>
          <w:color w:val="000000"/>
          <w:shd w:val="clear" w:color="auto" w:fill="FFFFFF"/>
        </w:rPr>
        <w:t xml:space="preserve"> </w:t>
      </w:r>
      <w:r w:rsidRPr="00F877EC">
        <w:rPr>
          <w:rStyle w:val="normaltextrun"/>
          <w:rFonts w:ascii="Arial" w:hAnsi="Arial" w:cs="Arial"/>
          <w:b/>
          <w:bCs/>
          <w:color w:val="000000"/>
          <w:shd w:val="clear" w:color="auto" w:fill="FFFFFF"/>
        </w:rPr>
        <w:t xml:space="preserve">Global Industry Classification System </w:t>
      </w:r>
    </w:p>
    <w:p w:rsidR="00B16168" w:rsidP="00B16168">
      <w:pPr>
        <w:spacing w:after="0"/>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most widely used approach to categorising activities into industry sectors. The main standard in use for public markets with growing use for other asset classes.</w:t>
      </w:r>
    </w:p>
    <w:p w:rsidR="00B16168" w:rsidRPr="00D21C51" w:rsidP="00B16168">
      <w:pPr>
        <w:spacing w:after="0"/>
        <w:rPr>
          <w:rStyle w:val="normaltextrun"/>
          <w:rFonts w:ascii="Arial" w:hAnsi="Arial" w:cs="Arial"/>
          <w:color w:val="000000"/>
          <w:shd w:val="clear" w:color="auto" w:fill="FFFFFF"/>
        </w:rPr>
      </w:pPr>
      <w:r w:rsidRPr="00D21C51">
        <w:rPr>
          <w:rStyle w:val="normaltextrun"/>
          <w:rFonts w:ascii="Arial" w:hAnsi="Arial" w:cs="Arial"/>
          <w:color w:val="000000"/>
          <w:shd w:val="clear" w:color="auto" w:fill="FFFFFF"/>
        </w:rPr>
        <w:t xml:space="preserve">For more information on GICS and the activities </w:t>
      </w:r>
      <w:r>
        <w:rPr>
          <w:rStyle w:val="normaltextrun"/>
          <w:rFonts w:ascii="Arial" w:hAnsi="Arial" w:cs="Arial"/>
          <w:color w:val="000000"/>
          <w:shd w:val="clear" w:color="auto" w:fill="FFFFFF"/>
        </w:rPr>
        <w:t>that</w:t>
      </w:r>
      <w:r w:rsidRPr="00D21C51">
        <w:rPr>
          <w:rStyle w:val="normaltextrun"/>
          <w:rFonts w:ascii="Arial" w:hAnsi="Arial" w:cs="Arial"/>
          <w:color w:val="000000"/>
          <w:shd w:val="clear" w:color="auto" w:fill="FFFFFF"/>
        </w:rPr>
        <w:t xml:space="preserve"> fall into </w:t>
      </w:r>
      <w:r>
        <w:rPr>
          <w:rStyle w:val="normaltextrun"/>
          <w:rFonts w:ascii="Arial" w:hAnsi="Arial" w:cs="Arial"/>
          <w:color w:val="000000"/>
          <w:shd w:val="clear" w:color="auto" w:fill="FFFFFF"/>
        </w:rPr>
        <w:t>each</w:t>
      </w:r>
      <w:r w:rsidRPr="00D21C51">
        <w:rPr>
          <w:rStyle w:val="normaltextrun"/>
          <w:rFonts w:ascii="Arial" w:hAnsi="Arial" w:cs="Arial"/>
          <w:color w:val="000000"/>
          <w:shd w:val="clear" w:color="auto" w:fill="FFFFFF"/>
        </w:rPr>
        <w:t xml:space="preserve"> sector</w:t>
      </w:r>
      <w:r>
        <w:rPr>
          <w:rStyle w:val="normaltextrun"/>
          <w:rFonts w:ascii="Arial" w:hAnsi="Arial" w:cs="Arial"/>
          <w:color w:val="000000"/>
          <w:shd w:val="clear" w:color="auto" w:fill="FFFFFF"/>
        </w:rPr>
        <w:t xml:space="preserve"> </w:t>
      </w:r>
      <w:r w:rsidRPr="00D21C51">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ee:</w:t>
      </w:r>
    </w:p>
    <w:p w:rsidR="00B16168" w:rsidP="00B16168">
      <w:pPr>
        <w:spacing w:after="0"/>
        <w:rPr>
          <w:rStyle w:val="normaltextrun"/>
          <w:rFonts w:ascii="Arial" w:hAnsi="Arial" w:cs="Arial"/>
          <w:b/>
          <w:bCs/>
          <w:color w:val="000000"/>
          <w:shd w:val="clear" w:color="auto" w:fill="FFFFFF"/>
        </w:rPr>
      </w:pPr>
      <w:r>
        <w:fldChar w:fldCharType="begin"/>
      </w:r>
      <w:r>
        <w:instrText xml:space="preserve"> HYPERLINK "https://www.spglobal.com/marketintelligence/en/documents/112727-gics-mapbook_2018_v3_letter_digitalspreads.pdf" </w:instrText>
      </w:r>
      <w:r>
        <w:fldChar w:fldCharType="separate"/>
      </w:r>
      <w:r w:rsidRPr="0091018E" w:rsidR="001B0B08">
        <w:rPr>
          <w:rStyle w:val="Hyperlink"/>
          <w:rFonts w:ascii="Arial" w:hAnsi="Arial" w:cs="Arial"/>
          <w:shd w:val="clear" w:color="auto" w:fill="FFFFFF"/>
        </w:rPr>
        <w:t>https://www.spglobal.com/marketintelligence/en/documents/112727-gics-mapbook_2018_v3_letter_digitalspreads.pdf</w:t>
      </w:r>
      <w:r>
        <w:fldChar w:fldCharType="end"/>
      </w:r>
    </w:p>
    <w:p w:rsidR="00B16168" w:rsidP="00B16168">
      <w:pPr>
        <w:spacing w:after="0"/>
        <w:rPr>
          <w:rStyle w:val="normaltextrun"/>
          <w:rFonts w:ascii="Arial" w:hAnsi="Arial" w:cs="Arial"/>
          <w:b/>
          <w:bCs/>
          <w:color w:val="000000"/>
          <w:shd w:val="clear" w:color="auto" w:fill="FFFFFF"/>
        </w:rPr>
      </w:pPr>
    </w:p>
    <w:p w:rsidR="00B1205A" w:rsidRPr="00264F80" w:rsidP="00B16168">
      <w:pPr>
        <w:spacing w:after="0"/>
        <w:rPr>
          <w:rStyle w:val="normaltextrun"/>
          <w:rFonts w:ascii="Arial" w:hAnsi="Arial" w:cs="Arial"/>
          <w:color w:val="000000"/>
          <w:shd w:val="clear" w:color="auto" w:fill="FFFFFF"/>
        </w:rPr>
      </w:pPr>
      <w:r>
        <w:rPr>
          <w:rStyle w:val="normaltextrun"/>
          <w:rFonts w:ascii="Arial" w:hAnsi="Arial" w:cs="Arial"/>
          <w:b/>
          <w:bCs/>
          <w:color w:val="000000"/>
          <w:shd w:val="clear" w:color="auto" w:fill="FFFFFF"/>
        </w:rPr>
        <w:t xml:space="preserve">IIGCC – </w:t>
      </w:r>
      <w:r w:rsidRPr="00264F80">
        <w:rPr>
          <w:rStyle w:val="normaltextrun"/>
          <w:rFonts w:ascii="Arial" w:hAnsi="Arial" w:cs="Arial"/>
          <w:color w:val="000000"/>
          <w:shd w:val="clear" w:color="auto" w:fill="FFFFFF"/>
        </w:rPr>
        <w:t>Institutional Investor Group on Climate Change</w:t>
      </w:r>
      <w:r>
        <w:rPr>
          <w:rStyle w:val="normaltextrun"/>
          <w:rFonts w:ascii="Arial" w:hAnsi="Arial" w:cs="Arial"/>
          <w:color w:val="000000"/>
          <w:shd w:val="clear" w:color="auto" w:fill="FFFFFF"/>
        </w:rPr>
        <w:t>. LPPI is a member.</w:t>
      </w:r>
    </w:p>
    <w:p w:rsidR="00B1205A" w:rsidP="00B16168">
      <w:pPr>
        <w:spacing w:after="0"/>
        <w:rPr>
          <w:rStyle w:val="normaltextrun"/>
          <w:rFonts w:ascii="Arial" w:hAnsi="Arial" w:cs="Arial"/>
          <w:b/>
          <w:bCs/>
          <w:color w:val="000000"/>
          <w:shd w:val="clear" w:color="auto" w:fill="FFFFFF"/>
        </w:rPr>
      </w:pPr>
    </w:p>
    <w:p w:rsidR="00B16168" w:rsidP="00B16168">
      <w:pPr>
        <w:spacing w:after="0"/>
        <w:rPr>
          <w:rStyle w:val="normaltextrun"/>
          <w:color w:val="000000"/>
          <w:shd w:val="clear" w:color="auto" w:fill="FFFFFF"/>
        </w:rPr>
      </w:pPr>
      <w:r w:rsidRPr="000E3B45">
        <w:rPr>
          <w:rStyle w:val="normaltextrun"/>
          <w:rFonts w:ascii="Arial" w:hAnsi="Arial" w:cs="Arial"/>
          <w:b/>
          <w:bCs/>
          <w:color w:val="000000"/>
          <w:shd w:val="clear" w:color="auto" w:fill="FFFFFF"/>
        </w:rPr>
        <w:t>MSCI ACWI - MSCI All Country World Index</w:t>
      </w:r>
      <w:r w:rsidRPr="000E3B45">
        <w:rPr>
          <w:rStyle w:val="normaltextrun"/>
          <w:color w:val="000000"/>
          <w:shd w:val="clear" w:color="auto" w:fill="FFFFFF"/>
        </w:rPr>
        <w:t xml:space="preserve"> </w:t>
      </w:r>
    </w:p>
    <w:p w:rsidR="00B16168" w:rsidP="00B16168">
      <w:pPr>
        <w:spacing w:after="0"/>
        <w:rPr>
          <w:rStyle w:val="normaltextrun"/>
          <w:rFonts w:ascii="Arial" w:hAnsi="Arial" w:cs="Arial"/>
          <w:color w:val="000000"/>
          <w:shd w:val="clear" w:color="auto" w:fill="FFFFFF"/>
        </w:rPr>
      </w:pPr>
      <w:r w:rsidRPr="000E3B45">
        <w:rPr>
          <w:rStyle w:val="normaltextrun"/>
          <w:rFonts w:ascii="Arial" w:hAnsi="Arial" w:cs="Arial"/>
          <w:color w:val="000000"/>
          <w:shd w:val="clear" w:color="auto" w:fill="FFFFFF"/>
        </w:rPr>
        <w:t xml:space="preserve">A stock index designed to track broad global equity-market performance. </w:t>
      </w:r>
    </w:p>
    <w:p w:rsidR="00B16168" w:rsidRPr="000E3B45" w:rsidP="00B16168">
      <w:pPr>
        <w:spacing w:after="0"/>
        <w:rPr>
          <w:rStyle w:val="normaltextrun"/>
          <w:rFonts w:ascii="Arial" w:hAnsi="Arial" w:cs="Arial"/>
          <w:color w:val="000000"/>
          <w:shd w:val="clear" w:color="auto" w:fill="FFFFFF"/>
        </w:rPr>
      </w:pPr>
      <w:r w:rsidRPr="000E3B45">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 xml:space="preserve">LPPI </w:t>
      </w:r>
      <w:r w:rsidRPr="000E3B45">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lobal Equity Fund’s</w:t>
      </w:r>
      <w:r w:rsidRPr="000E3B45">
        <w:rPr>
          <w:rStyle w:val="normaltextrun"/>
          <w:rFonts w:ascii="Arial" w:hAnsi="Arial" w:cs="Arial"/>
          <w:color w:val="000000"/>
          <w:shd w:val="clear" w:color="auto" w:fill="FFFFFF"/>
        </w:rPr>
        <w:t xml:space="preserve"> benchmark. </w:t>
      </w:r>
    </w:p>
    <w:p w:rsidR="00B16168" w:rsidP="00B16168">
      <w:pPr>
        <w:spacing w:after="0"/>
        <w:rPr>
          <w:rStyle w:val="normaltextrun"/>
          <w:rFonts w:ascii="Arial" w:cs="Arial"/>
          <w:b/>
          <w:bCs/>
          <w:color w:val="000000"/>
          <w:shd w:val="clear" w:color="auto" w:fill="FFFFFF"/>
        </w:rPr>
      </w:pPr>
    </w:p>
    <w:p w:rsidR="00B16168" w:rsidRPr="000E3B45" w:rsidP="00B16168">
      <w:pPr>
        <w:spacing w:after="0"/>
        <w:rPr>
          <w:rStyle w:val="normaltextrun"/>
          <w:rFonts w:ascii="Arial" w:hAnsi="Arial" w:cs="Arial"/>
          <w:color w:val="000000"/>
          <w:shd w:val="clear" w:color="auto" w:fill="FFFFFF"/>
        </w:rPr>
      </w:pPr>
      <w:r w:rsidRPr="000E3B45">
        <w:rPr>
          <w:rStyle w:val="normaltextrun"/>
          <w:rFonts w:ascii="Arial" w:cs="Arial"/>
          <w:b/>
          <w:bCs/>
          <w:color w:val="000000"/>
          <w:shd w:val="clear" w:color="auto" w:fill="FFFFFF"/>
        </w:rPr>
        <w:t>MSCI</w:t>
      </w:r>
      <w:r w:rsidRPr="000E3B45">
        <w:rPr>
          <w:rStyle w:val="normaltextrun"/>
          <w:rFonts w:ascii="Arial" w:cs="Arial"/>
          <w:color w:val="000000"/>
          <w:shd w:val="clear" w:color="auto" w:fill="FFFFFF"/>
        </w:rPr>
        <w:t xml:space="preserve"> </w:t>
      </w:r>
      <w:r>
        <w:rPr>
          <w:rStyle w:val="normaltextrun"/>
          <w:color w:val="000000"/>
          <w:shd w:val="clear" w:color="auto" w:fill="FFFFFF"/>
        </w:rPr>
        <w:t xml:space="preserve">- </w:t>
      </w:r>
      <w:r w:rsidRPr="000E3B45">
        <w:rPr>
          <w:rStyle w:val="normaltextrun"/>
          <w:rFonts w:ascii="Arial" w:hAnsi="Arial" w:cs="Arial"/>
          <w:b/>
          <w:bCs/>
          <w:color w:val="000000"/>
          <w:shd w:val="clear" w:color="auto" w:fill="FFFFFF"/>
        </w:rPr>
        <w:t>Morgan Stanley Capital International</w:t>
      </w:r>
      <w:r w:rsidRPr="000E3B45">
        <w:rPr>
          <w:rStyle w:val="normaltextrun"/>
          <w:rFonts w:ascii="Arial" w:hAnsi="Arial" w:cs="Arial"/>
          <w:color w:val="000000"/>
          <w:shd w:val="clear" w:color="auto" w:fill="FFFFFF"/>
        </w:rPr>
        <w:t xml:space="preserve"> A global index provider</w:t>
      </w:r>
      <w:r>
        <w:rPr>
          <w:rStyle w:val="normaltextrun"/>
          <w:rFonts w:ascii="Arial" w:hAnsi="Arial" w:cs="Arial"/>
          <w:color w:val="000000"/>
          <w:shd w:val="clear" w:color="auto" w:fill="FFFFFF"/>
        </w:rPr>
        <w:t>.</w:t>
      </w:r>
    </w:p>
    <w:p w:rsidR="00B16168" w:rsidP="0008784A">
      <w:pPr>
        <w:spacing w:after="0"/>
        <w:rPr>
          <w:rFonts w:ascii="Arial" w:hAnsi="Arial"/>
          <w:b/>
        </w:rPr>
      </w:pPr>
    </w:p>
    <w:p w:rsidR="00D917F2" w:rsidRPr="00E25DF1" w:rsidP="0008784A">
      <w:pPr>
        <w:spacing w:after="0"/>
        <w:rPr>
          <w:rStyle w:val="normaltextrun"/>
          <w:rFonts w:ascii="Arial" w:hAnsi="Arial" w:cs="Arial"/>
          <w:color w:val="000000"/>
          <w:shd w:val="clear" w:color="auto" w:fill="FFFFFF"/>
        </w:rPr>
      </w:pPr>
      <w:r>
        <w:rPr>
          <w:rFonts w:ascii="Arial" w:hAnsi="Arial"/>
          <w:b/>
        </w:rPr>
        <w:t xml:space="preserve">MHCLG - </w:t>
      </w:r>
      <w:r w:rsidRPr="008C314B">
        <w:rPr>
          <w:rStyle w:val="normaltextrun"/>
          <w:rFonts w:ascii="Arial" w:hAnsi="Arial" w:cs="Arial"/>
          <w:color w:val="000000"/>
          <w:shd w:val="clear" w:color="auto" w:fill="FFFFFF"/>
        </w:rPr>
        <w:t>Ministry of Housing, Communities and Local Government</w:t>
      </w:r>
    </w:p>
    <w:p w:rsidR="00E25DF1" w:rsidP="0008784A">
      <w:pPr>
        <w:spacing w:after="0"/>
        <w:rPr>
          <w:rStyle w:val="normaltextrun"/>
          <w:rFonts w:ascii="Arial" w:hAnsi="Arial" w:cs="Arial"/>
          <w:b/>
          <w:bCs/>
          <w:color w:val="000000"/>
          <w:shd w:val="clear" w:color="auto" w:fill="FFFFFF"/>
        </w:rPr>
      </w:pPr>
    </w:p>
    <w:p w:rsidR="00B1205A" w:rsidP="0008784A">
      <w:pPr>
        <w:spacing w:after="0"/>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PRI – </w:t>
      </w:r>
      <w:r w:rsidRPr="006D4B5C">
        <w:rPr>
          <w:rStyle w:val="normaltextrun"/>
          <w:rFonts w:ascii="Arial" w:hAnsi="Arial" w:cs="Arial"/>
          <w:color w:val="000000"/>
          <w:shd w:val="clear" w:color="auto" w:fill="FFFFFF"/>
        </w:rPr>
        <w:t>Principles for Responsible Investment</w:t>
      </w:r>
      <w:r>
        <w:rPr>
          <w:rStyle w:val="normaltextrun"/>
          <w:rFonts w:ascii="Arial" w:hAnsi="Arial" w:cs="Arial"/>
          <w:b/>
          <w:bCs/>
          <w:color w:val="000000"/>
          <w:shd w:val="clear" w:color="auto" w:fill="FFFFFF"/>
        </w:rPr>
        <w:t xml:space="preserve"> </w:t>
      </w:r>
    </w:p>
    <w:p w:rsidR="006D4B5C" w:rsidP="008C314B">
      <w:pPr>
        <w:spacing w:after="0"/>
        <w:rPr>
          <w:rFonts w:ascii="Arial" w:hAnsi="Arial" w:cs="Arial"/>
          <w:b/>
          <w:bCs/>
        </w:rPr>
      </w:pPr>
    </w:p>
    <w:p w:rsidR="008C314B" w:rsidP="008C314B">
      <w:pPr>
        <w:spacing w:after="0"/>
        <w:rPr>
          <w:rFonts w:ascii="Arial" w:hAnsi="Arial" w:cs="Arial"/>
          <w:b/>
          <w:bCs/>
        </w:rPr>
      </w:pPr>
      <w:r w:rsidRPr="001D3BBE">
        <w:rPr>
          <w:rFonts w:ascii="Arial" w:hAnsi="Arial" w:cs="Arial"/>
          <w:b/>
          <w:bCs/>
        </w:rPr>
        <w:t>TCFD</w:t>
      </w:r>
      <w:r>
        <w:rPr>
          <w:rFonts w:ascii="Arial" w:hAnsi="Arial" w:cs="Arial"/>
          <w:b/>
          <w:bCs/>
        </w:rPr>
        <w:t xml:space="preserve"> - </w:t>
      </w:r>
      <w:r w:rsidRPr="00B1205A">
        <w:rPr>
          <w:rFonts w:ascii="Arial" w:hAnsi="Arial" w:cs="Arial"/>
        </w:rPr>
        <w:t>Taskforce on Climate Related Financial Disclosure</w:t>
      </w:r>
    </w:p>
    <w:p w:rsidR="008C314B" w:rsidP="008C314B">
      <w:pPr>
        <w:spacing w:after="0"/>
        <w:rPr>
          <w:rFonts w:ascii="Arial" w:hAnsi="Arial" w:cs="Arial"/>
        </w:rPr>
      </w:pPr>
      <w:r w:rsidRPr="001D3BBE">
        <w:rPr>
          <w:rFonts w:ascii="Arial" w:hAnsi="Arial" w:cs="Arial"/>
        </w:rPr>
        <w:t>The Financial Stability Board created the Task Force on Climate-related Financial</w:t>
      </w:r>
      <w:r>
        <w:rPr>
          <w:rFonts w:ascii="Arial" w:hAnsi="Arial" w:cs="Arial"/>
        </w:rPr>
        <w:t xml:space="preserve"> </w:t>
      </w:r>
      <w:r w:rsidRPr="001D3BBE">
        <w:rPr>
          <w:rFonts w:ascii="Arial" w:hAnsi="Arial" w:cs="Arial"/>
        </w:rPr>
        <w:t>Disclosure (TCFD) to improve and increase reporting of climate-related financial information</w:t>
      </w:r>
      <w:r>
        <w:rPr>
          <w:rFonts w:ascii="Arial" w:hAnsi="Arial" w:cs="Arial"/>
        </w:rPr>
        <w:t xml:space="preserve"> by companies and investors. </w:t>
      </w:r>
    </w:p>
    <w:p w:rsidR="008C314B" w:rsidP="008C314B">
      <w:pPr>
        <w:spacing w:after="0"/>
        <w:rPr>
          <w:rFonts w:ascii="Arial" w:hAnsi="Arial" w:cs="Arial"/>
        </w:rPr>
      </w:pPr>
      <w:r>
        <w:rPr>
          <w:rFonts w:ascii="Arial" w:hAnsi="Arial" w:cs="Arial"/>
        </w:rPr>
        <w:t>Recommendations include annual disclosure under 4 pillars:</w:t>
      </w:r>
    </w:p>
    <w:p w:rsidR="0092279D" w:rsidP="008C314B">
      <w:pPr>
        <w:spacing w:after="0"/>
        <w:rPr>
          <w:rFonts w:ascii="Arial" w:hAnsi="Arial" w:cs="Arial"/>
        </w:rPr>
      </w:pPr>
    </w:p>
    <w:p w:rsidR="008C314B" w:rsidP="0008784A">
      <w:pPr>
        <w:spacing w:after="0"/>
        <w:rPr>
          <w:rStyle w:val="normaltextrun"/>
          <w:rFonts w:ascii="Arial" w:hAnsi="Arial" w:cs="Arial"/>
          <w:b/>
          <w:bCs/>
          <w:color w:val="000000"/>
          <w:shd w:val="clear" w:color="auto" w:fill="FFFFFF"/>
        </w:rPr>
      </w:pPr>
      <w:r>
        <w:rPr>
          <w:noProof/>
        </w:rPr>
        <w:drawing>
          <wp:inline distT="0" distB="0" distL="0" distR="0">
            <wp:extent cx="5731510" cy="1649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33722" name=""/>
                    <pic:cNvPicPr/>
                  </pic:nvPicPr>
                  <pic:blipFill>
                    <a:blip xmlns:r="http://schemas.openxmlformats.org/officeDocument/2006/relationships" r:embed="rId8"/>
                    <a:stretch>
                      <a:fillRect/>
                    </a:stretch>
                  </pic:blipFill>
                  <pic:spPr>
                    <a:xfrm>
                      <a:off x="0" y="0"/>
                      <a:ext cx="5731510" cy="1649980"/>
                    </a:xfrm>
                    <a:prstGeom prst="rect">
                      <a:avLst/>
                    </a:prstGeom>
                  </pic:spPr>
                </pic:pic>
              </a:graphicData>
            </a:graphic>
          </wp:inline>
        </w:drawing>
      </w:r>
    </w:p>
    <w:p w:rsidR="008C314B" w:rsidP="0008784A">
      <w:pPr>
        <w:spacing w:after="0"/>
        <w:rPr>
          <w:rStyle w:val="normaltextrun"/>
          <w:rFonts w:ascii="Arial" w:hAnsi="Arial" w:cs="Arial"/>
          <w:b/>
          <w:bCs/>
          <w:color w:val="000000"/>
          <w:shd w:val="clear" w:color="auto" w:fill="FFFFFF"/>
        </w:rPr>
      </w:pPr>
    </w:p>
    <w:p w:rsidR="000A3204" w:rsidP="00BF656E">
      <w:pPr>
        <w:spacing w:after="0"/>
        <w:rPr>
          <w:rStyle w:val="normaltextrun"/>
          <w:rFonts w:ascii="Arial" w:hAnsi="Arial" w:cs="Arial"/>
          <w:b/>
          <w:bCs/>
          <w:color w:val="000000"/>
          <w:shd w:val="clear" w:color="auto" w:fill="FFFFFF"/>
        </w:rPr>
      </w:pPr>
    </w:p>
    <w:p w:rsidR="00BF656E" w:rsidP="00BF656E">
      <w:pPr>
        <w:spacing w:after="0"/>
        <w:rPr>
          <w:rStyle w:val="normaltextrun"/>
          <w:rFonts w:ascii="Arial" w:hAnsi="Arial" w:cs="Arial"/>
          <w:color w:val="000000"/>
          <w:shd w:val="clear" w:color="auto" w:fill="FFFFFF"/>
        </w:rPr>
      </w:pPr>
      <w:r w:rsidRPr="00BF656E">
        <w:rPr>
          <w:rStyle w:val="normaltextrun"/>
          <w:rFonts w:ascii="Arial" w:hAnsi="Arial" w:cs="Arial"/>
          <w:b/>
          <w:bCs/>
          <w:color w:val="000000"/>
          <w:shd w:val="clear" w:color="auto" w:fill="FFFFFF"/>
        </w:rPr>
        <w:t>TPI</w:t>
      </w:r>
      <w:r w:rsidRPr="00BF656E">
        <w:rPr>
          <w:rStyle w:val="normaltextrun"/>
          <w:rFonts w:ascii="Arial" w:hAnsi="Arial" w:cs="Arial"/>
          <w:color w:val="000000"/>
          <w:shd w:val="clear" w:color="auto" w:fill="FFFFFF"/>
        </w:rPr>
        <w:t xml:space="preserve"> - </w:t>
      </w:r>
      <w:r w:rsidRPr="00BF656E">
        <w:rPr>
          <w:rStyle w:val="normaltextrun"/>
          <w:rFonts w:ascii="Arial" w:hAnsi="Arial" w:cs="Arial"/>
          <w:b/>
          <w:bCs/>
          <w:color w:val="000000"/>
          <w:shd w:val="clear" w:color="auto" w:fill="FFFFFF"/>
        </w:rPr>
        <w:t>Transition Pathway Initiative</w:t>
      </w:r>
      <w:r w:rsidRPr="00BF656E">
        <w:rPr>
          <w:rStyle w:val="normaltextrun"/>
          <w:rFonts w:ascii="Arial" w:hAnsi="Arial" w:cs="Arial"/>
          <w:color w:val="000000"/>
          <w:shd w:val="clear" w:color="auto" w:fill="FFFFFF"/>
        </w:rPr>
        <w:t xml:space="preserve"> </w:t>
      </w:r>
      <w:r>
        <w:fldChar w:fldCharType="begin"/>
      </w:r>
      <w:r>
        <w:instrText xml:space="preserve"> HYPERLINK "https://www.transitionpathwayinitiative.org/" </w:instrText>
      </w:r>
      <w:r>
        <w:fldChar w:fldCharType="separate"/>
      </w:r>
      <w:r w:rsidRPr="007A7FB1">
        <w:rPr>
          <w:rStyle w:val="Hyperlink"/>
          <w:rFonts w:ascii="Arial" w:hAnsi="Arial" w:cs="Arial"/>
          <w:shd w:val="clear" w:color="auto" w:fill="FFFFFF"/>
        </w:rPr>
        <w:t>https://www.transitionpathwayinitiative.org/</w:t>
      </w:r>
      <w:r>
        <w:fldChar w:fldCharType="end"/>
      </w:r>
    </w:p>
    <w:p w:rsidR="00BF656E" w:rsidRPr="00BF656E" w:rsidP="00BF656E">
      <w:pPr>
        <w:spacing w:after="0"/>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Pr="00BF656E">
        <w:rPr>
          <w:rStyle w:val="normaltextrun"/>
          <w:rFonts w:ascii="Arial" w:hAnsi="Arial" w:cs="Arial"/>
          <w:color w:val="000000"/>
          <w:shd w:val="clear" w:color="auto" w:fill="FFFFFF"/>
        </w:rPr>
        <w:t>TPI assess</w:t>
      </w:r>
      <w:r>
        <w:rPr>
          <w:rStyle w:val="normaltextrun"/>
          <w:rFonts w:ascii="Arial" w:hAnsi="Arial" w:cs="Arial"/>
          <w:color w:val="000000"/>
          <w:shd w:val="clear" w:color="auto" w:fill="FFFFFF"/>
        </w:rPr>
        <w:t>es</w:t>
      </w:r>
      <w:r w:rsidRPr="00BF656E">
        <w:rPr>
          <w:rStyle w:val="normaltextrun"/>
          <w:rFonts w:ascii="Arial" w:hAnsi="Arial" w:cs="Arial"/>
          <w:color w:val="000000"/>
          <w:shd w:val="clear" w:color="auto" w:fill="FFFFFF"/>
        </w:rPr>
        <w:t xml:space="preserve"> highest emitting companies globally on their preparedness for transition to a low carbon economy</w:t>
      </w:r>
      <w:r>
        <w:rPr>
          <w:rStyle w:val="normaltextrun"/>
          <w:rFonts w:ascii="Arial" w:hAnsi="Arial" w:cs="Arial"/>
          <w:color w:val="000000"/>
          <w:shd w:val="clear" w:color="auto" w:fill="FFFFFF"/>
        </w:rPr>
        <w:t>.</w:t>
      </w:r>
      <w:r w:rsidRPr="00BF656E">
        <w:rPr>
          <w:rStyle w:val="normaltextrun"/>
          <w:rFonts w:ascii="Arial" w:hAnsi="Arial" w:cs="Arial"/>
          <w:color w:val="000000"/>
          <w:shd w:val="clear" w:color="auto" w:fill="FFFFFF"/>
        </w:rPr>
        <w:t xml:space="preserve"> </w:t>
      </w:r>
    </w:p>
    <w:p w:rsidR="0001667D" w:rsidRPr="0013601D" w:rsidP="0013601D">
      <w:pPr>
        <w:spacing w:after="0"/>
        <w:rPr>
          <w:rFonts w:ascii="Arial" w:hAnsi="Arial" w:cs="Arial"/>
          <w:color w:val="000000"/>
          <w:shd w:val="clear" w:color="auto" w:fill="FFFFFF"/>
        </w:rPr>
      </w:pPr>
      <w:r w:rsidRPr="00BF656E">
        <w:rPr>
          <w:rStyle w:val="normaltextrun"/>
          <w:rFonts w:ascii="Arial" w:hAnsi="Arial" w:cs="Arial"/>
          <w:color w:val="000000"/>
          <w:shd w:val="clear" w:color="auto" w:fill="FFFFFF"/>
        </w:rPr>
        <w:t>368 companies are rated TPI</w:t>
      </w:r>
      <w:r>
        <w:rPr>
          <w:rStyle w:val="normaltextrun"/>
          <w:rFonts w:ascii="Arial" w:hAnsi="Arial" w:cs="Arial"/>
          <w:color w:val="000000"/>
          <w:shd w:val="clear" w:color="auto" w:fill="FFFFFF"/>
        </w:rPr>
        <w:t xml:space="preserve"> </w:t>
      </w:r>
      <w:r w:rsidRPr="00BF656E">
        <w:rPr>
          <w:rStyle w:val="normaltextrun"/>
          <w:rFonts w:ascii="Arial" w:hAnsi="Arial" w:cs="Arial"/>
          <w:color w:val="000000"/>
          <w:shd w:val="clear" w:color="auto" w:fill="FFFFFF"/>
        </w:rPr>
        <w:t>0-4* for Management Quality based on 19 separate</w:t>
      </w:r>
      <w:r>
        <w:rPr>
          <w:rStyle w:val="normaltextrun"/>
          <w:rFonts w:ascii="Arial" w:hAnsi="Arial" w:cs="Arial"/>
          <w:color w:val="000000"/>
          <w:shd w:val="clear" w:color="auto" w:fill="FFFFFF"/>
        </w:rPr>
        <w:t xml:space="preserve"> </w:t>
      </w:r>
      <w:r w:rsidRPr="00BF656E">
        <w:rPr>
          <w:rStyle w:val="normaltextrun"/>
          <w:rFonts w:ascii="Arial" w:hAnsi="Arial" w:cs="Arial"/>
          <w:color w:val="000000"/>
          <w:shd w:val="clear" w:color="auto" w:fill="FFFFFF"/>
        </w:rPr>
        <w:t>datapoints</w:t>
      </w:r>
      <w:r>
        <w:rPr>
          <w:rStyle w:val="normaltextrun"/>
          <w:rFonts w:ascii="Arial" w:hAnsi="Arial" w:cs="Arial"/>
          <w:color w:val="000000"/>
          <w:shd w:val="clear" w:color="auto" w:fill="FFFFFF"/>
        </w:rPr>
        <w:t xml:space="preserve">. </w:t>
      </w:r>
      <w:r w:rsidRPr="00BF656E">
        <w:rPr>
          <w:rFonts w:ascii="Arial" w:hAnsi="Arial" w:cs="Arial"/>
        </w:rPr>
        <w:t xml:space="preserve">TPI Management Quality scores </w:t>
      </w:r>
      <w:r>
        <w:rPr>
          <w:rFonts w:ascii="Arial" w:hAnsi="Arial" w:cs="Arial"/>
        </w:rPr>
        <w:t>provide an</w:t>
      </w:r>
      <w:r w:rsidRPr="00BF656E">
        <w:rPr>
          <w:rFonts w:ascii="Arial" w:hAnsi="Arial" w:cs="Arial"/>
        </w:rPr>
        <w:t xml:space="preserve"> objective external measure of corporate transition readines</w:t>
      </w:r>
      <w:r>
        <w:rPr>
          <w:rFonts w:ascii="Arial" w:hAnsi="Arial" w:cs="Arial"/>
        </w:rPr>
        <w:t>s.</w:t>
      </w:r>
    </w:p>
    <w:p w:rsidR="001D3BBE" w:rsidP="001D3BBE">
      <w:pPr>
        <w:spacing w:after="0"/>
        <w:rPr>
          <w:rFonts w:ascii="Arial" w:hAnsi="Arial" w:cs="Arial"/>
        </w:rPr>
      </w:pPr>
    </w:p>
    <w:p w:rsidR="001D3BBE" w:rsidRPr="001D3BBE" w:rsidP="001D3BBE">
      <w:pPr>
        <w:spacing w:after="0"/>
        <w:rPr>
          <w:rFonts w:ascii="Arial" w:hAnsi="Arial" w:cs="Arial"/>
          <w:b/>
          <w:bCs/>
        </w:rPr>
      </w:pPr>
    </w:p>
    <w:sectPr w:rsidSect="00A7642D">
      <w:footerReference w:type="default" r:id="rId9"/>
      <w:headerReference w:type="first" r:id="rId10"/>
      <w:footerReference w:type="first" r:id="rId11"/>
      <w:pgSz w:w="11906" w:h="16838"/>
      <w:pgMar w:top="1440" w:right="1440" w:bottom="993" w:left="1440" w:header="36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Palatino Linotype"/>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1223664"/>
      <w:docPartObj>
        <w:docPartGallery w:val="Page Numbers (Bottom of Page)"/>
        <w:docPartUnique/>
      </w:docPartObj>
    </w:sdtPr>
    <w:sdtEndPr>
      <w:rPr>
        <w:noProof/>
      </w:rPr>
    </w:sdtEndPr>
    <w:sdtContent>
      <w:p w:rsidR="009310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1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9708456"/>
      <w:docPartObj>
        <w:docPartGallery w:val="Page Numbers (Bottom of Page)"/>
        <w:docPartUnique/>
      </w:docPartObj>
    </w:sdtPr>
    <w:sdtEndPr>
      <w:rPr>
        <w:noProof/>
      </w:rPr>
    </w:sdtEndPr>
    <w:sdtContent>
      <w:p w:rsidR="00931083" w:rsidP="002E3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108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083" w:rsidP="00286E47">
    <w:pPr>
      <w:rPr>
        <w:color w:val="000000" w:themeColor="text1"/>
        <w:sz w:val="34"/>
        <w:szCs w:val="34"/>
      </w:rPr>
    </w:pPr>
    <w:r>
      <w:rPr>
        <w:noProof/>
        <w:lang w:eastAsia="en-GB"/>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-230505</wp:posOffset>
          </wp:positionV>
          <wp:extent cx="1629410" cy="814070"/>
          <wp:effectExtent l="0" t="0" r="8890" b="5080"/>
          <wp:wrapThrough wrapText="bothSides">
            <wp:wrapPolygon>
              <wp:start x="0" y="0"/>
              <wp:lineTo x="0" y="21229"/>
              <wp:lineTo x="21465" y="21229"/>
              <wp:lineTo x="21465" y="0"/>
              <wp:lineTo x="0" y="0"/>
            </wp:wrapPolygon>
          </wp:wrapThrough>
          <wp:docPr id="9" name="Picture 9"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654314" name="Picture 1" descr="C:\Users\sarah.vanson\AppData\Local\Microsoft\Windows\Temporary Internet Files\Content.Word\LPP JPEG.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941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34"/>
        <w:szCs w:val="34"/>
      </w:rPr>
      <w:drawing>
        <wp:anchor distT="0" distB="0" distL="114300" distR="114300" simplePos="0" relativeHeight="251659264" behindDoc="0" locked="0" layoutInCell="1" allowOverlap="1">
          <wp:simplePos x="0" y="0"/>
          <wp:positionH relativeFrom="margin">
            <wp:align>left</wp:align>
          </wp:positionH>
          <wp:positionV relativeFrom="paragraph">
            <wp:posOffset>331470</wp:posOffset>
          </wp:positionV>
          <wp:extent cx="4495800" cy="56886"/>
          <wp:effectExtent l="0" t="0" r="0" b="635"/>
          <wp:wrapThrough wrapText="bothSides">
            <wp:wrapPolygon>
              <wp:start x="0" y="0"/>
              <wp:lineTo x="0" y="14562"/>
              <wp:lineTo x="21325" y="14562"/>
              <wp:lineTo x="2132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533549" name="Picture 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495800" cy="56886"/>
                  </a:xfrm>
                  <a:prstGeom prst="rect">
                    <a:avLst/>
                  </a:prstGeom>
                  <a:noFill/>
                </pic:spPr>
              </pic:pic>
            </a:graphicData>
          </a:graphic>
        </wp:anchor>
      </w:drawing>
    </w:r>
    <w:r>
      <w:rPr>
        <w:color w:val="000000" w:themeColor="text1"/>
        <w:sz w:val="34"/>
        <w:szCs w:val="34"/>
      </w:rPr>
      <w:t>L</w:t>
    </w:r>
    <w:r w:rsidRPr="004614CC">
      <w:rPr>
        <w:color w:val="000000" w:themeColor="text1"/>
        <w:sz w:val="34"/>
        <w:szCs w:val="34"/>
      </w:rPr>
      <w:t xml:space="preserve">ocal </w:t>
    </w:r>
    <w:r>
      <w:rPr>
        <w:color w:val="000000" w:themeColor="text1"/>
        <w:sz w:val="34"/>
        <w:szCs w:val="34"/>
      </w:rPr>
      <w:t>P</w:t>
    </w:r>
    <w:r w:rsidRPr="004614CC">
      <w:rPr>
        <w:color w:val="000000" w:themeColor="text1"/>
        <w:sz w:val="34"/>
        <w:szCs w:val="34"/>
      </w:rPr>
      <w:t xml:space="preserve">ensions </w:t>
    </w:r>
    <w:r>
      <w:rPr>
        <w:color w:val="000000" w:themeColor="text1"/>
        <w:sz w:val="34"/>
        <w:szCs w:val="34"/>
      </w:rPr>
      <w:t>P</w:t>
    </w:r>
    <w:r w:rsidRPr="004614CC">
      <w:rPr>
        <w:color w:val="000000" w:themeColor="text1"/>
        <w:sz w:val="34"/>
        <w:szCs w:val="34"/>
      </w:rPr>
      <w:t xml:space="preserve">artnership </w:t>
    </w:r>
    <w:r>
      <w:rPr>
        <w:color w:val="000000" w:themeColor="text1"/>
        <w:sz w:val="34"/>
        <w:szCs w:val="34"/>
      </w:rPr>
      <w:t>I</w:t>
    </w:r>
    <w:r w:rsidRPr="004614CC">
      <w:rPr>
        <w:color w:val="000000" w:themeColor="text1"/>
        <w:sz w:val="34"/>
        <w:szCs w:val="34"/>
      </w:rPr>
      <w:t xml:space="preserve">nvestments </w:t>
    </w:r>
    <w:r>
      <w:rPr>
        <w:color w:val="000000" w:themeColor="text1"/>
        <w:sz w:val="34"/>
        <w:szCs w:val="34"/>
      </w:rPr>
      <w:t>L</w:t>
    </w:r>
    <w:r w:rsidRPr="004614CC">
      <w:rPr>
        <w:color w:val="000000" w:themeColor="text1"/>
        <w:sz w:val="34"/>
        <w:szCs w:val="34"/>
      </w:rPr>
      <w:t>td</w:t>
    </w:r>
  </w:p>
  <w:p w:rsidR="00931083" w:rsidRPr="00286E47" w:rsidP="00286E47">
    <w:pPr>
      <w:spacing w:after="0"/>
      <w:rPr>
        <w:rFonts w:ascii="Arial" w:hAnsi="Arial" w:cs="Arial"/>
        <w:iCs/>
        <w:color w:val="000000" w:themeColor="text1"/>
        <w:sz w:val="28"/>
      </w:rPr>
    </w:pPr>
    <w:r>
      <w:rPr>
        <w:rFonts w:ascii="Arial" w:hAnsi="Arial" w:cs="Arial"/>
        <w:iCs/>
        <w:color w:val="000000" w:themeColor="text1"/>
        <w:sz w:val="28"/>
      </w:rPr>
      <w:t>Re</w:t>
    </w:r>
    <w:r w:rsidRPr="00FE6A98">
      <w:rPr>
        <w:rFonts w:ascii="Arial" w:hAnsi="Arial" w:cs="Arial"/>
        <w:iCs/>
        <w:color w:val="000000" w:themeColor="text1"/>
        <w:sz w:val="28"/>
      </w:rPr>
      <w:t>sponsible Investment Report – Q</w:t>
    </w:r>
    <w:r>
      <w:rPr>
        <w:rFonts w:ascii="Arial" w:hAnsi="Arial" w:cs="Arial"/>
        <w:iCs/>
        <w:color w:val="000000" w:themeColor="text1"/>
        <w:sz w:val="28"/>
      </w:rPr>
      <w:t>1</w:t>
    </w:r>
    <w:r w:rsidRPr="00FE6A98">
      <w:rPr>
        <w:rFonts w:ascii="Arial" w:hAnsi="Arial" w:cs="Arial"/>
        <w:iCs/>
        <w:color w:val="000000" w:themeColor="text1"/>
        <w:sz w:val="28"/>
      </w:rPr>
      <w:t xml:space="preserve"> 202</w:t>
    </w:r>
    <w:r>
      <w:rPr>
        <w:rFonts w:ascii="Arial" w:hAnsi="Arial" w:cs="Arial"/>
        <w:iCs/>
        <w:color w:val="000000" w:themeColor="text1"/>
        <w:sz w:val="28"/>
      </w:rPr>
      <w:t>1</w:t>
    </w:r>
  </w:p>
  <w:p w:rsidR="00931083" w:rsidP="00286E47">
    <w:pPr>
      <w:spacing w:after="0"/>
      <w:rPr>
        <w:rFonts w:ascii="Arial" w:hAnsi="Arial" w:cs="Arial"/>
        <w:iCs/>
        <w:color w:val="000000" w:themeColor="text1"/>
        <w:sz w:val="28"/>
      </w:rPr>
    </w:pPr>
    <w:r w:rsidRPr="00286E47">
      <w:rPr>
        <w:rFonts w:ascii="Arial" w:hAnsi="Arial" w:cs="Arial"/>
        <w:iCs/>
        <w:noProof/>
        <w:color w:val="000000" w:themeColor="text1"/>
        <w:sz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48259</wp:posOffset>
              </wp:positionV>
              <wp:extent cx="6228080" cy="0"/>
              <wp:effectExtent l="0" t="19050" r="127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228080" cy="0"/>
                      </a:xfrm>
                      <a:prstGeom prst="line">
                        <a:avLst/>
                      </a:prstGeom>
                      <a:noFill/>
                      <a:ln w="38100">
                        <a:solidFill>
                          <a:srgbClr val="1C8E9D"/>
                        </a:solidFill>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2049" style="mso-height-percent:0;mso-height-relative:page;mso-width-percent:0;mso-width-relative:margin;mso-wrap-distance-bottom:0;mso-wrap-distance-left:9pt;mso-wrap-distance-right:9pt;mso-wrap-distance-top:0;mso-wrap-style:square;position:absolute;visibility:visible;z-index:251661312" from="-0.2pt,3.8pt" to="490.2pt,3.8pt" strokecolor="#1c8e9d"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351AC"/>
    <w:multiLevelType w:val="hybridMultilevel"/>
    <w:tmpl w:val="DFC29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E23292"/>
    <w:multiLevelType w:val="hybridMultilevel"/>
    <w:tmpl w:val="B694E1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4245A0"/>
    <w:multiLevelType w:val="hybridMultilevel"/>
    <w:tmpl w:val="11569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0456BF"/>
    <w:multiLevelType w:val="hybridMultilevel"/>
    <w:tmpl w:val="6AAA8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444BBF"/>
    <w:multiLevelType w:val="hybridMultilevel"/>
    <w:tmpl w:val="6A84AB34"/>
    <w:lvl w:ilvl="0">
      <w:start w:val="1"/>
      <w:numFmt w:val="decimal"/>
      <w:pStyle w:val="treb"/>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1F4958"/>
    <w:multiLevelType w:val="multilevel"/>
    <w:tmpl w:val="13B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31191D"/>
    <w:multiLevelType w:val="hybridMultilevel"/>
    <w:tmpl w:val="3AC2B00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6A96509"/>
    <w:multiLevelType w:val="hybridMultilevel"/>
    <w:tmpl w:val="61EC2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0D4B78"/>
    <w:multiLevelType w:val="hybridMultilevel"/>
    <w:tmpl w:val="EAD82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9758CE"/>
    <w:multiLevelType w:val="hybridMultilevel"/>
    <w:tmpl w:val="277AE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FB2303"/>
    <w:multiLevelType w:val="multilevel"/>
    <w:tmpl w:val="B77E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121C39"/>
    <w:multiLevelType w:val="multilevel"/>
    <w:tmpl w:val="F27C0598"/>
    <w:lvl w:ilvl="0">
      <w:start w:val="1"/>
      <w:numFmt w:val="none"/>
      <w:pStyle w:val="LPPBodytext"/>
      <w:suff w:val="nothing"/>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2333C2"/>
    <w:multiLevelType w:val="hybridMultilevel"/>
    <w:tmpl w:val="BE5EC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3667E90"/>
    <w:multiLevelType w:val="hybridMultilevel"/>
    <w:tmpl w:val="D0365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BFF6F55"/>
    <w:multiLevelType w:val="multilevel"/>
    <w:tmpl w:val="CFB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1364F5"/>
    <w:multiLevelType w:val="multilevel"/>
    <w:tmpl w:val="C0D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CD00F1"/>
    <w:multiLevelType w:val="multilevel"/>
    <w:tmpl w:val="929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D1EE3"/>
    <w:multiLevelType w:val="hybridMultilevel"/>
    <w:tmpl w:val="8BDCFF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074052"/>
    <w:multiLevelType w:val="multilevel"/>
    <w:tmpl w:val="70B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B05958"/>
    <w:multiLevelType w:val="hybridMultilevel"/>
    <w:tmpl w:val="401839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D66675"/>
    <w:multiLevelType w:val="multilevel"/>
    <w:tmpl w:val="A6A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7"/>
  </w:num>
  <w:num w:numId="4">
    <w:abstractNumId w:val="2"/>
  </w:num>
  <w:num w:numId="5">
    <w:abstractNumId w:val="17"/>
  </w:num>
  <w:num w:numId="6">
    <w:abstractNumId w:val="13"/>
  </w:num>
  <w:num w:numId="7">
    <w:abstractNumId w:val="12"/>
  </w:num>
  <w:num w:numId="8">
    <w:abstractNumId w:val="3"/>
  </w:num>
  <w:num w:numId="9">
    <w:abstractNumId w:val="19"/>
  </w:num>
  <w:num w:numId="10">
    <w:abstractNumId w:val="14"/>
  </w:num>
  <w:num w:numId="11">
    <w:abstractNumId w:val="18"/>
  </w:num>
  <w:num w:numId="12">
    <w:abstractNumId w:val="8"/>
  </w:num>
  <w:num w:numId="13">
    <w:abstractNumId w:val="16"/>
  </w:num>
  <w:num w:numId="14">
    <w:abstractNumId w:val="10"/>
  </w:num>
  <w:num w:numId="15">
    <w:abstractNumId w:val="6"/>
  </w:num>
  <w:num w:numId="16">
    <w:abstractNumId w:val="0"/>
  </w:num>
  <w:num w:numId="17">
    <w:abstractNumId w:val="4"/>
  </w:num>
  <w:num w:numId="18">
    <w:abstractNumId w:val="1"/>
  </w:num>
  <w:num w:numId="19">
    <w:abstractNumId w:val="15"/>
  </w:num>
  <w:num w:numId="20">
    <w:abstractNumId w:val="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83"/>
    <w:pPr>
      <w:spacing w:after="200" w:line="276" w:lineRule="auto"/>
    </w:pPr>
  </w:style>
  <w:style w:type="paragraph" w:styleId="Heading1">
    <w:name w:val="heading 1"/>
    <w:basedOn w:val="Normal"/>
    <w:next w:val="Normal"/>
    <w:link w:val="Heading1Char"/>
    <w:qFormat/>
    <w:rsid w:val="0084678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846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4678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783"/>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846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46783"/>
    <w:rPr>
      <w:rFonts w:ascii="CG Omega" w:eastAsia="Times New Roman" w:hAnsi="CG Omega" w:cs="Times New Roman"/>
      <w:b/>
      <w:szCs w:val="20"/>
    </w:rPr>
  </w:style>
  <w:style w:type="paragraph" w:styleId="ListParagraph">
    <w:name w:val="List Paragraph"/>
    <w:basedOn w:val="Normal"/>
    <w:link w:val="ListParagraphChar"/>
    <w:uiPriority w:val="34"/>
    <w:qFormat/>
    <w:rsid w:val="00846783"/>
    <w:pPr>
      <w:ind w:left="720"/>
      <w:contextualSpacing/>
    </w:pPr>
  </w:style>
  <w:style w:type="character" w:customStyle="1" w:styleId="Fontsize">
    <w:name w:val="Font &amp; size"/>
    <w:basedOn w:val="DefaultParagraphFont"/>
    <w:rsid w:val="00846783"/>
    <w:rPr>
      <w:rFonts w:ascii="CG Omega" w:hAnsi="CG Omega"/>
      <w:sz w:val="22"/>
    </w:rPr>
  </w:style>
  <w:style w:type="paragraph" w:styleId="Title">
    <w:name w:val="Title"/>
    <w:basedOn w:val="Normal"/>
    <w:link w:val="TitleChar"/>
    <w:qFormat/>
    <w:rsid w:val="0084678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678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3"/>
  </w:style>
  <w:style w:type="paragraph" w:styleId="Footer">
    <w:name w:val="footer"/>
    <w:basedOn w:val="Normal"/>
    <w:link w:val="FooterChar"/>
    <w:uiPriority w:val="99"/>
    <w:unhideWhenUsed/>
    <w:rsid w:val="008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3"/>
  </w:style>
  <w:style w:type="paragraph" w:styleId="BalloonText">
    <w:name w:val="Balloon Text"/>
    <w:basedOn w:val="Normal"/>
    <w:link w:val="BalloonTextChar"/>
    <w:uiPriority w:val="99"/>
    <w:semiHidden/>
    <w:unhideWhenUsed/>
    <w:rsid w:val="0084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83"/>
    <w:rPr>
      <w:rFonts w:ascii="Tahoma" w:hAnsi="Tahoma" w:cs="Tahoma"/>
      <w:sz w:val="16"/>
      <w:szCs w:val="16"/>
    </w:rPr>
  </w:style>
  <w:style w:type="character" w:customStyle="1" w:styleId="subparatext">
    <w:name w:val="subparatext"/>
    <w:basedOn w:val="DefaultParagraphFont"/>
    <w:uiPriority w:val="99"/>
    <w:rsid w:val="00846783"/>
    <w:rPr>
      <w:rFonts w:cs="Times New Roman"/>
    </w:rPr>
  </w:style>
  <w:style w:type="paragraph" w:customStyle="1" w:styleId="Default">
    <w:name w:val="Default"/>
    <w:rsid w:val="00846783"/>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reb">
    <w:name w:val="treb"/>
    <w:basedOn w:val="ListParagraph"/>
    <w:link w:val="trebChar"/>
    <w:qFormat/>
    <w:rsid w:val="00846783"/>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846783"/>
  </w:style>
  <w:style w:type="character" w:customStyle="1" w:styleId="trebChar">
    <w:name w:val="treb Char"/>
    <w:basedOn w:val="ListParagraphChar"/>
    <w:link w:val="treb"/>
    <w:rsid w:val="00846783"/>
    <w:rPr>
      <w:rFonts w:ascii="Trebuchet MS" w:hAnsi="Trebuchet MS" w:cs="Arial"/>
      <w:b/>
      <w:bCs/>
    </w:rPr>
  </w:style>
  <w:style w:type="table" w:styleId="TableGrid">
    <w:name w:val="Table Grid"/>
    <w:basedOn w:val="TableNormal"/>
    <w:rsid w:val="0084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83"/>
    <w:rPr>
      <w:color w:val="0563C1" w:themeColor="hyperlink"/>
      <w:u w:val="single"/>
    </w:rPr>
  </w:style>
  <w:style w:type="paragraph" w:styleId="BodyText">
    <w:name w:val="Body Text"/>
    <w:basedOn w:val="Normal"/>
    <w:link w:val="BodyTextChar"/>
    <w:semiHidden/>
    <w:unhideWhenUsed/>
    <w:rsid w:val="0084678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846783"/>
    <w:rPr>
      <w:rFonts w:ascii="Palatino" w:eastAsia="Times New Roman" w:hAnsi="Palatino" w:cs="Times New Roman"/>
      <w:sz w:val="20"/>
      <w:szCs w:val="20"/>
    </w:rPr>
  </w:style>
  <w:style w:type="character" w:customStyle="1" w:styleId="st1">
    <w:name w:val="st1"/>
    <w:basedOn w:val="DefaultParagraphFont"/>
    <w:rsid w:val="00846783"/>
  </w:style>
  <w:style w:type="character" w:styleId="Emphasis">
    <w:name w:val="Emphasis"/>
    <w:basedOn w:val="DefaultParagraphFont"/>
    <w:uiPriority w:val="20"/>
    <w:qFormat/>
    <w:rsid w:val="00846783"/>
    <w:rPr>
      <w:b/>
      <w:bCs/>
      <w:i w:val="0"/>
      <w:iCs w:val="0"/>
    </w:rPr>
  </w:style>
  <w:style w:type="character" w:styleId="FollowedHyperlink">
    <w:name w:val="FollowedHyperlink"/>
    <w:basedOn w:val="DefaultParagraphFont"/>
    <w:uiPriority w:val="99"/>
    <w:semiHidden/>
    <w:unhideWhenUsed/>
    <w:rsid w:val="00846783"/>
    <w:rPr>
      <w:color w:val="954F72" w:themeColor="followedHyperlink"/>
      <w:u w:val="single"/>
    </w:rPr>
  </w:style>
  <w:style w:type="paragraph" w:styleId="NormalWeb">
    <w:name w:val="Normal (Web)"/>
    <w:basedOn w:val="Normal"/>
    <w:uiPriority w:val="99"/>
    <w:unhideWhenUsed/>
    <w:rsid w:val="0084678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6783"/>
    <w:rPr>
      <w:sz w:val="16"/>
      <w:szCs w:val="16"/>
    </w:rPr>
  </w:style>
  <w:style w:type="paragraph" w:styleId="CommentText">
    <w:name w:val="annotation text"/>
    <w:basedOn w:val="Normal"/>
    <w:link w:val="CommentTextChar"/>
    <w:uiPriority w:val="99"/>
    <w:semiHidden/>
    <w:unhideWhenUsed/>
    <w:rsid w:val="00846783"/>
    <w:pPr>
      <w:spacing w:line="240" w:lineRule="auto"/>
    </w:pPr>
    <w:rPr>
      <w:sz w:val="20"/>
      <w:szCs w:val="20"/>
    </w:rPr>
  </w:style>
  <w:style w:type="character" w:customStyle="1" w:styleId="CommentTextChar">
    <w:name w:val="Comment Text Char"/>
    <w:basedOn w:val="DefaultParagraphFont"/>
    <w:link w:val="CommentText"/>
    <w:uiPriority w:val="99"/>
    <w:semiHidden/>
    <w:rsid w:val="00846783"/>
    <w:rPr>
      <w:sz w:val="20"/>
      <w:szCs w:val="20"/>
    </w:rPr>
  </w:style>
  <w:style w:type="paragraph" w:styleId="CommentSubject">
    <w:name w:val="annotation subject"/>
    <w:basedOn w:val="CommentText"/>
    <w:next w:val="CommentText"/>
    <w:link w:val="CommentSubjectChar"/>
    <w:uiPriority w:val="99"/>
    <w:semiHidden/>
    <w:unhideWhenUsed/>
    <w:rsid w:val="00846783"/>
    <w:rPr>
      <w:b/>
      <w:bCs/>
    </w:rPr>
  </w:style>
  <w:style w:type="character" w:customStyle="1" w:styleId="CommentSubjectChar">
    <w:name w:val="Comment Subject Char"/>
    <w:basedOn w:val="CommentTextChar"/>
    <w:link w:val="CommentSubject"/>
    <w:uiPriority w:val="99"/>
    <w:semiHidden/>
    <w:rsid w:val="00846783"/>
    <w:rPr>
      <w:b/>
      <w:bCs/>
      <w:sz w:val="20"/>
      <w:szCs w:val="20"/>
    </w:rPr>
  </w:style>
  <w:style w:type="character" w:customStyle="1" w:styleId="UnresolvedMention1">
    <w:name w:val="Unresolved Mention1"/>
    <w:basedOn w:val="DefaultParagraphFont"/>
    <w:uiPriority w:val="99"/>
    <w:semiHidden/>
    <w:unhideWhenUsed/>
    <w:rsid w:val="00846783"/>
    <w:rPr>
      <w:color w:val="808080"/>
      <w:shd w:val="clear" w:color="auto" w:fill="E6E6E6"/>
    </w:rPr>
  </w:style>
  <w:style w:type="character" w:customStyle="1" w:styleId="BodyCopyChar">
    <w:name w:val="Body Copy Char"/>
    <w:basedOn w:val="DefaultParagraphFont"/>
    <w:link w:val="BodyCopy"/>
    <w:locked/>
    <w:rsid w:val="00846783"/>
    <w:rPr>
      <w:rFonts w:ascii="BentonSans Book" w:hAnsi="BentonSans Book"/>
    </w:rPr>
  </w:style>
  <w:style w:type="paragraph" w:customStyle="1" w:styleId="BodyCopy">
    <w:name w:val="Body Copy"/>
    <w:basedOn w:val="Normal"/>
    <w:link w:val="BodyCopyChar"/>
    <w:rsid w:val="00846783"/>
    <w:pPr>
      <w:spacing w:after="0" w:line="280" w:lineRule="atLeast"/>
    </w:pPr>
    <w:rPr>
      <w:rFonts w:ascii="BentonSans Book" w:hAnsi="BentonSans Book"/>
    </w:rPr>
  </w:style>
  <w:style w:type="character" w:customStyle="1" w:styleId="geninfoval1">
    <w:name w:val="geninfoval1"/>
    <w:basedOn w:val="DefaultParagraphFont"/>
    <w:rsid w:val="00846783"/>
    <w:rPr>
      <w:sz w:val="18"/>
      <w:szCs w:val="18"/>
    </w:rPr>
  </w:style>
  <w:style w:type="paragraph" w:customStyle="1" w:styleId="LPPBodytext">
    <w:name w:val="LPP Body text"/>
    <w:basedOn w:val="Normal"/>
    <w:link w:val="LPPBodytextChar"/>
    <w:qFormat/>
    <w:rsid w:val="00846783"/>
    <w:pPr>
      <w:numPr>
        <w:numId w:val="2"/>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46783"/>
    <w:rPr>
      <w:rFonts w:ascii="Verdana" w:eastAsia="Times New Roman" w:hAnsi="Verdana" w:cs="Times New Roman"/>
      <w:spacing w:val="-6"/>
      <w:sz w:val="20"/>
      <w:szCs w:val="18"/>
      <w:lang w:val="en-US" w:eastAsia="zh-CN"/>
    </w:rPr>
  </w:style>
  <w:style w:type="character" w:styleId="Strong">
    <w:name w:val="Strong"/>
    <w:basedOn w:val="DefaultParagraphFont"/>
    <w:uiPriority w:val="22"/>
    <w:qFormat/>
    <w:rsid w:val="00846783"/>
    <w:rPr>
      <w:b/>
      <w:bCs/>
    </w:rPr>
  </w:style>
  <w:style w:type="paragraph" w:customStyle="1" w:styleId="paragraph">
    <w:name w:val="paragraph"/>
    <w:basedOn w:val="Normal"/>
    <w:rsid w:val="002F1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1C34"/>
  </w:style>
  <w:style w:type="character" w:customStyle="1" w:styleId="eop">
    <w:name w:val="eop"/>
    <w:basedOn w:val="DefaultParagraphFont"/>
    <w:rsid w:val="002F1C34"/>
  </w:style>
  <w:style w:type="table" w:customStyle="1" w:styleId="Verdana1">
    <w:name w:val="Verdana1"/>
    <w:basedOn w:val="TableNormal"/>
    <w:next w:val="TableGrid"/>
    <w:uiPriority w:val="59"/>
    <w:rsid w:val="00AF4A73"/>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540"/>
    <w:rPr>
      <w:sz w:val="20"/>
      <w:szCs w:val="20"/>
    </w:rPr>
  </w:style>
  <w:style w:type="character" w:styleId="FootnoteReference">
    <w:name w:val="footnote reference"/>
    <w:basedOn w:val="DefaultParagraphFont"/>
    <w:uiPriority w:val="99"/>
    <w:semiHidden/>
    <w:unhideWhenUsed/>
    <w:rsid w:val="00B77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Britton</dc:creator>
  <cp:lastModifiedBy>Neville, Mike</cp:lastModifiedBy>
  <cp:revision>8</cp:revision>
  <cp:lastPrinted>2021-02-23T15:49:00Z</cp:lastPrinted>
  <dcterms:created xsi:type="dcterms:W3CDTF">2021-05-28T08:35:00Z</dcterms:created>
  <dcterms:modified xsi:type="dcterms:W3CDTF">2021-06-08T16:40:00Z</dcterms:modified>
</cp:coreProperties>
</file>